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A2" w:rsidRPr="005D54A2" w:rsidRDefault="005D54A2" w:rsidP="005D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A2">
        <w:rPr>
          <w:rFonts w:ascii="Times New Roman" w:hAnsi="Times New Roman" w:cs="Times New Roman"/>
          <w:b/>
          <w:sz w:val="28"/>
          <w:szCs w:val="28"/>
        </w:rPr>
        <w:t>Технічне завдання по предмету закупівлі</w:t>
      </w:r>
    </w:p>
    <w:p w:rsidR="005D54A2" w:rsidRDefault="005D54A2" w:rsidP="005D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A2">
        <w:rPr>
          <w:rFonts w:ascii="Times New Roman" w:hAnsi="Times New Roman" w:cs="Times New Roman"/>
          <w:b/>
          <w:sz w:val="28"/>
          <w:szCs w:val="28"/>
        </w:rPr>
        <w:t xml:space="preserve">медичні матеріали - за кодом CPV за </w:t>
      </w:r>
      <w:proofErr w:type="spellStart"/>
      <w:r w:rsidRPr="005D54A2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5D54A2">
        <w:rPr>
          <w:rFonts w:ascii="Times New Roman" w:hAnsi="Times New Roman" w:cs="Times New Roman"/>
          <w:b/>
          <w:sz w:val="28"/>
          <w:szCs w:val="28"/>
        </w:rPr>
        <w:t xml:space="preserve"> 021:2015 </w:t>
      </w:r>
      <w:proofErr w:type="spellStart"/>
      <w:r w:rsidRPr="005D54A2">
        <w:rPr>
          <w:rFonts w:ascii="Times New Roman" w:hAnsi="Times New Roman" w:cs="Times New Roman"/>
          <w:b/>
          <w:sz w:val="28"/>
          <w:szCs w:val="28"/>
        </w:rPr>
        <w:t>–код</w:t>
      </w:r>
      <w:proofErr w:type="spellEnd"/>
      <w:r w:rsidRPr="005D5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4A2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5D54A2">
        <w:rPr>
          <w:rFonts w:ascii="Times New Roman" w:hAnsi="Times New Roman" w:cs="Times New Roman"/>
          <w:b/>
          <w:sz w:val="28"/>
          <w:szCs w:val="28"/>
        </w:rPr>
        <w:t xml:space="preserve"> 021:2015: 33170000-2: Обладнання для анестезії та реанімації </w:t>
      </w:r>
    </w:p>
    <w:p w:rsidR="001730EF" w:rsidRPr="005D54A2" w:rsidRDefault="005D54A2" w:rsidP="005D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A2">
        <w:rPr>
          <w:rFonts w:ascii="Times New Roman" w:hAnsi="Times New Roman" w:cs="Times New Roman"/>
          <w:b/>
          <w:sz w:val="28"/>
          <w:szCs w:val="28"/>
        </w:rPr>
        <w:t xml:space="preserve">(анестезійні та реанімаційні інструменти – 2 лота (Лот №1 - витратні матеріали для анестезіології; </w:t>
      </w:r>
      <w:proofErr w:type="spellStart"/>
      <w:r w:rsidRPr="005D54A2">
        <w:rPr>
          <w:rFonts w:ascii="Times New Roman" w:hAnsi="Times New Roman" w:cs="Times New Roman"/>
          <w:b/>
          <w:sz w:val="28"/>
          <w:szCs w:val="28"/>
        </w:rPr>
        <w:t>Лот№</w:t>
      </w:r>
      <w:proofErr w:type="spellEnd"/>
      <w:r w:rsidRPr="005D54A2">
        <w:rPr>
          <w:rFonts w:ascii="Times New Roman" w:hAnsi="Times New Roman" w:cs="Times New Roman"/>
          <w:b/>
          <w:sz w:val="28"/>
          <w:szCs w:val="28"/>
        </w:rPr>
        <w:t xml:space="preserve"> 2 - витратні матеріали для анестезіології та інтенсивної терапії)</w:t>
      </w:r>
    </w:p>
    <w:p w:rsidR="005D54A2" w:rsidRDefault="005D54A2" w:rsidP="005D54A2"/>
    <w:p w:rsidR="005D54A2" w:rsidRDefault="005D54A2" w:rsidP="005D54A2"/>
    <w:p w:rsidR="005D54A2" w:rsidRPr="005D54A2" w:rsidRDefault="005D54A2" w:rsidP="005D54A2">
      <w:pPr>
        <w:jc w:val="both"/>
        <w:rPr>
          <w:rFonts w:ascii="Times New Roman" w:hAnsi="Times New Roman" w:cs="Times New Roman"/>
          <w:sz w:val="24"/>
          <w:szCs w:val="24"/>
        </w:rPr>
      </w:pPr>
      <w:r w:rsidRPr="005D54A2">
        <w:rPr>
          <w:rFonts w:ascii="Times New Roman" w:hAnsi="Times New Roman" w:cs="Times New Roman"/>
          <w:sz w:val="24"/>
          <w:szCs w:val="24"/>
        </w:rPr>
        <w:t xml:space="preserve">1. Товар, запропонований Учасником, повинен відповідати </w:t>
      </w:r>
      <w:proofErr w:type="spellStart"/>
      <w:r w:rsidRPr="005D54A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D54A2">
        <w:rPr>
          <w:rFonts w:ascii="Times New Roman" w:hAnsi="Times New Roman" w:cs="Times New Roman"/>
          <w:sz w:val="24"/>
          <w:szCs w:val="24"/>
        </w:rPr>
        <w:t xml:space="preserve"> – технічним вимогам, встановленим у даному додатку до Документації. Відповідність технічних характеристик запропонованого Учасником товару, що викладені у даному додатку до Документації, повинна бути обов’язково підтверджена шляхом надання заповненої таблиці,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 українською, або російською мовами) в якому міститься ця інформація, разом з додаванням оригіналів таких документів (або витягів з документів), або їх завірених копій.</w:t>
      </w:r>
    </w:p>
    <w:p w:rsidR="005D54A2" w:rsidRPr="005D54A2" w:rsidRDefault="005D54A2" w:rsidP="005D54A2">
      <w:pPr>
        <w:jc w:val="both"/>
        <w:rPr>
          <w:rFonts w:ascii="Times New Roman" w:hAnsi="Times New Roman" w:cs="Times New Roman"/>
          <w:sz w:val="24"/>
          <w:szCs w:val="24"/>
        </w:rPr>
      </w:pPr>
      <w:r w:rsidRPr="005D54A2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оригінал, або завірену копію декларації про відповідність або сертифікату відповідності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5D54A2" w:rsidRDefault="005D54A2" w:rsidP="005D54A2">
      <w:pPr>
        <w:jc w:val="both"/>
        <w:rPr>
          <w:rFonts w:ascii="Times New Roman" w:hAnsi="Times New Roman" w:cs="Times New Roman"/>
          <w:sz w:val="24"/>
          <w:szCs w:val="24"/>
        </w:rPr>
      </w:pPr>
      <w:r w:rsidRPr="005D54A2">
        <w:rPr>
          <w:rFonts w:ascii="Times New Roman" w:hAnsi="Times New Roman" w:cs="Times New Roman"/>
          <w:sz w:val="24"/>
          <w:szCs w:val="24"/>
        </w:rPr>
        <w:t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На підтвердження Учасник повинен надати оригінал або завірену копію листа виробника (представництва, філії виробника – якщо їх відповідні повноваження поширюються на територію України), яким  підтверджується  можливість поставки товару, який є предметом закупівлі цих торгів, у необхідній кількості та в терміни. Гарантійний лист виробника повинен включати: повну назву учасника, адресуватися Замовнику, містити номер ідентифікатора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5D54A2" w:rsidRDefault="005D54A2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0" w:type="dxa"/>
        <w:tblInd w:w="95" w:type="dxa"/>
        <w:tblLook w:val="04A0"/>
      </w:tblPr>
      <w:tblGrid>
        <w:gridCol w:w="440"/>
        <w:gridCol w:w="2400"/>
        <w:gridCol w:w="700"/>
        <w:gridCol w:w="640"/>
        <w:gridCol w:w="1340"/>
        <w:gridCol w:w="2040"/>
        <w:gridCol w:w="7360"/>
      </w:tblGrid>
      <w:tr w:rsidR="007B26B0" w:rsidRPr="007B26B0" w:rsidTr="007B26B0">
        <w:trPr>
          <w:trHeight w:val="11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Міжнародна непатентована або загальноприйнята назва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к-ть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Код CPV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відповідно до НК 024:2019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МТВ</w:t>
            </w:r>
          </w:p>
        </w:tc>
      </w:tr>
      <w:tr w:rsidR="007B26B0" w:rsidRPr="007B26B0" w:rsidTr="007B26B0">
        <w:trPr>
          <w:trHeight w:val="4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ЛОТ №1</w:t>
            </w:r>
            <w:r w:rsidRPr="005D54A2">
              <w:rPr>
                <w:rFonts w:ascii="Times New Roman" w:hAnsi="Times New Roman" w:cs="Times New Roman"/>
                <w:b/>
                <w:sz w:val="28"/>
                <w:szCs w:val="28"/>
              </w:rPr>
              <w:t>- витратні матеріали для анестезіології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7B26B0" w:rsidRPr="007B26B0" w:rsidTr="007B26B0">
        <w:trPr>
          <w:trHeight w:val="18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маска одноразова, розмір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маска одноразового використання, стерильна, виготовлена з полівінілхлориду для медичних виробів. Має прозору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манжету. Повинна мати цілісну конструкцію та кольорову індикацію пілотного балону, що забезпечує зручну ідентифікацію розміру маски. М-15 з’єднувач по стандарту ISO 5356, забезпечує універсальне з'єднання. Транспортна упаковка повинна містити насос для манжети з кольоровою ідентифікацією.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 1. Рекомендована вага пацієнта &lt;5 кг.</w:t>
            </w:r>
          </w:p>
        </w:tc>
      </w:tr>
      <w:tr w:rsidR="007B26B0" w:rsidRPr="007B26B0" w:rsidTr="007B26B0">
        <w:trPr>
          <w:trHeight w:val="18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маска одноразова, розмір 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маска одноразового використання, стерильна, виготовлена з полівінілхлориду для медичних виробів. Має прозору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манжету. Повинна мати цілісну конструкцію та кольорову індикацію пілотного балону, що забезпечує зручну ідентифікацію розміру маски. М-15 з’єднувач по стандарту ISO 5356, забезпечує універсальне з'єднання. Транспортна упаковка повинна містити насос для манжети з кольоровою ідентифікацією.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 1,5. Рекомендована вага пацієнта 5-10 кг.</w:t>
            </w:r>
          </w:p>
        </w:tc>
      </w:tr>
      <w:tr w:rsidR="007B26B0" w:rsidRPr="007B26B0" w:rsidTr="007B26B0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маска одноразова,, розмір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маска одноразового використання, стерильна, виготовлена з полівінілхлориду для медичних виробів. Має прозору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манжету. Повинна мати цілісну конструкцію та кольорову індикацію пілотного балону, що забезпечує зручну ідентифікацію розміру маски. М-15 з’єднувач по стандарту ISO 5356, забезпечує універсальне з'єднання. Транспортна упаковка повинна містити насос для манжети з кольоровою ідентифікацією.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 2. Рекомендована вага пацієнта 10-20 кг.</w:t>
            </w:r>
          </w:p>
        </w:tc>
      </w:tr>
      <w:tr w:rsidR="007B26B0" w:rsidRPr="007B26B0" w:rsidTr="007B26B0">
        <w:trPr>
          <w:trHeight w:val="17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маска одноразова, розмір 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маска одноразового використання, стерильна, виготовлена з полівінілхлориду для медичних виробів. Має прозору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манжету. Повинна мати цілісну конструкцію та кольорову індикацію пілотного балону, що забезпечує зручну ідентифікацію розміру маски. М-15 з’єднувач по стандарту ISO 5356, забезпечує універсальне з'єднання. Транспортна упаковка повинна містити насос для манжети з кольоровою ідентифікацією.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 2,5. Рекомендована вага пацієнта 20-30 кг.</w:t>
            </w:r>
          </w:p>
        </w:tc>
      </w:tr>
      <w:tr w:rsidR="007B26B0" w:rsidRPr="007B26B0" w:rsidTr="007B26B0">
        <w:trPr>
          <w:trHeight w:val="18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маска одноразова, розмір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маска одноразового використання, стерильна, виготовлена з полівінілхлориду для медичних виробів. Має прозору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манжету. Повинна мати цілісну конструкцію та кольорову індикацію пілотного балону, що забезпечує зручну ідентифікацію розміру маски. М-15 з’єднувач по стандарту ISO 5356, забезпечує універсальне з'єднання. Транспортна упаковка повинна містити насос для манжети з кольоровою ідентифікацією.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 3. Рекомендована вага пацієнта 30-50 кг.</w:t>
            </w:r>
          </w:p>
        </w:tc>
      </w:tr>
      <w:tr w:rsidR="007B26B0" w:rsidRPr="007B26B0" w:rsidTr="007B26B0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маска одноразова, розмір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маска одноразового використання, стерильна, виготовлена з полівінілхлориду для медичних виробів. Має прозору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манжету. Повинна мати цілісну конструкцію та кольорову індикацію пілотного балону, що забезпечує зручну ідентифікацію розміру маски. М-15 з’єднувач по стандарту ISO 5356, забезпечує універсальне з'єднання. Транспортна упаковка повинна містити насос для манжети з кольоровою ідентифікацією.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 4. Рекомендована вага пацієнта 50-70 кг.</w:t>
            </w:r>
          </w:p>
        </w:tc>
      </w:tr>
      <w:tr w:rsidR="007B26B0" w:rsidRPr="007B26B0" w:rsidTr="007B26B0">
        <w:trPr>
          <w:trHeight w:val="2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Маска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портом для аспірації та введенням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ендотрахіальної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трубки, розмір 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Одноразового використання. Повинен бути з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роздувноюманжетою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мати інтегрований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аспіраційний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порт, який забезпечує ефективне видалення рідини та шлункового вмісту, максимальний розмір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аспіраційного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катетера 8 (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). Повинна мати систему керування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інтубацією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направляє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трубку через голосові зв’язки, максимальний розмір ЕТТ 3,5 (мм)</w:t>
            </w: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Повинна мати інтегрований перфорований клапан, який практично не збільшуючи опір потоку, захищає від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обтурації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піднімає надгортанник. Рекомендована вага пацієнта 5-10 кг. Розмір 1.</w:t>
            </w: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Матеріал медичний ПВХ,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DEHP.</w:t>
            </w:r>
          </w:p>
        </w:tc>
      </w:tr>
      <w:tr w:rsidR="007B26B0" w:rsidRPr="007B26B0" w:rsidTr="007B26B0">
        <w:trPr>
          <w:trHeight w:val="23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Маска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портом для аспірації та введенням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ендотрахіальної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трубки, розмір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Одноразового використання. Повинен бути з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роздувноюманжетою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мати інтегрований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порт, який забезпечує ефективне видалення рідини та шлункового вмісту, максимальний розмір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аспіраційного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катетера 12 (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Повинна мати систему керування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інтубацією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направляє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трубку через голосові зв’язки, максимальний розмір ЕТТ 5 (мм)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Повинна мати інтегрований перфорований клапан, який практично не збільшуючи опір потоку, захищає від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обтурації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піднімає надгортанник. Рекомендована вага пацієнта 10-20 кг.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Матеріал медичний ПВХ,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DEHP.</w:t>
            </w:r>
          </w:p>
        </w:tc>
      </w:tr>
      <w:tr w:rsidR="007B26B0" w:rsidRPr="007B26B0" w:rsidTr="007B26B0">
        <w:trPr>
          <w:trHeight w:val="2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Маска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портом для аспірації та введенням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ендотрахіальної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трубки, розмір 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Одноразового використання. Повинен бути з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роздувноюманжетою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мати інтегрований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порт, який забезпечує ефективне видалення рідини та шлункового вмісту, максимальний розмір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аспіраційного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катетера 14 (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Повинна мати систему керування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інтубацією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направляє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трубку через голосові зв’язки, максимальний розмір ЕТТ 5,5 (мм)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Повинна мати інтегрований перфорований клапан, який практично не збільшуючи опір потоку, захищає від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обтурації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піднімає надгортанник. Рекомендована вага пацієнта 20-30 кг.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Матеріал медичний ПВХ,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DEHP.</w:t>
            </w:r>
          </w:p>
        </w:tc>
      </w:tr>
      <w:tr w:rsidR="007B26B0" w:rsidRPr="007B26B0" w:rsidTr="007B26B0">
        <w:trPr>
          <w:trHeight w:val="25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Маска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портом для аспірації та введенням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ендотрахіальної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трубки, розмір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Маска повинна бути одноразового використання. Повинна бути з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роздувноюманжетою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мати інтегрований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порт, який забезпечує ефективне видалення рідини та шлункового вмісту, максимальний розмір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аспіраційного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катетера 16 (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Повинна мати систему керування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інтубацією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направляє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трубку через голосові зв’язки, максимальний розмір ЕТТ 7,5 (мм)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Повинна мати інтегрований перфорований клапан, який практично не збільшуючи опір потоку, захищає від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обтурації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піднімає надгортанник. Рекомендована вага пацієнта 30-50 кг. Матеріал медичний ПВХ,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DEHP. Розмір 3.</w:t>
            </w:r>
          </w:p>
        </w:tc>
      </w:tr>
      <w:tr w:rsidR="007B26B0" w:rsidRPr="007B26B0" w:rsidTr="007B26B0">
        <w:trPr>
          <w:trHeight w:val="20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Маска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портом для аспірації та введенням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ендотрахіальної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трубки, розмір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33171100-0 Анестезійні інструменти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45036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Ларингеальний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повітропровід, разового застосування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Одноразового використання. Повинен бути з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роздувноюманжетою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мати інтегрований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порт, який забезпечує ефективне видалення рідини та шлункового вмісту, максимальний розмір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аспіраційного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катетера 18 (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Повинна мати систему керування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інтубацією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направляє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ендотрахеальну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трубку через голосові зв’язки, максимальний розмір ЕТТ 8,0 (мм). Повинна мати інтегрований перфорований клапан, який практично не збільшуючи опір потоку, захищає від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обтурації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піднімає надгортанник. Рекомендована вага пацієнта 50-70кг. Розмір 4. Матеріал медичний ПВХ, не містить латекс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фталати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DEHP.</w:t>
            </w:r>
          </w:p>
        </w:tc>
      </w:tr>
    </w:tbl>
    <w:p w:rsidR="007B26B0" w:rsidRPr="007B26B0" w:rsidRDefault="007B26B0" w:rsidP="005D5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B0">
        <w:rPr>
          <w:rFonts w:ascii="Times New Roman" w:hAnsi="Times New Roman" w:cs="Times New Roman"/>
          <w:b/>
          <w:sz w:val="24"/>
          <w:szCs w:val="24"/>
        </w:rPr>
        <w:t>Очікувана вартість по лоту №1 складає: 450000,00грн. (чотириста п’ятдесят тисяч гривень 00 коп.) з ПДВ.</w:t>
      </w: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208"/>
        <w:gridCol w:w="2268"/>
        <w:gridCol w:w="1300"/>
        <w:gridCol w:w="1420"/>
        <w:gridCol w:w="7061"/>
      </w:tblGrid>
      <w:tr w:rsidR="007B26B0" w:rsidRPr="007B26B0" w:rsidTr="007B26B0">
        <w:trPr>
          <w:trHeight w:val="1395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№ п/п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предмета закупівлі (або еквівалент)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Код та назва згідно НК 024:2019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Медико-технічні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вимоги</w:t>
            </w:r>
          </w:p>
        </w:tc>
      </w:tr>
      <w:tr w:rsidR="007B26B0" w:rsidRPr="007B26B0" w:rsidTr="007B26B0">
        <w:trPr>
          <w:trHeight w:val="562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196" w:type="dxa"/>
            <w:gridSpan w:val="4"/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Лот№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2 - витратні матеріали для анестезіології та інтенсивної терапії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1841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Фільтр дихальний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вірусо-бактеріальний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midi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порт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Luer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lock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60837 - Фільтр бактеріальний для медичних газів, нестерильний, одноразового використання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Фільтр з закругленим ергономічним корпусом, з вбудованими крильцями для забезпечення рівномірного розповсюдження потоку газової суміші. Мембрана фільтра електростатична. Порт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Луєр-Лок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кришка порту фіксована до корпусу фільтра. Ефективність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бактеріо-вірусної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фільтрації не менше 99,9%,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сжимаємий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об’єм не більше 30-35мл, мінімальний дихальний об'єм 100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Ефективність проти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Micobacterium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Tuberculosis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віруса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Гепатиту С. Одноразового використання. Індивідуальна упаковка.</w:t>
            </w:r>
          </w:p>
        </w:tc>
      </w:tr>
      <w:tr w:rsidR="007B26B0" w:rsidRPr="007B26B0" w:rsidTr="007B26B0">
        <w:trPr>
          <w:trHeight w:val="126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Дихальна система, 2,0 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37704 - Контур дихальний анестезіологічний, одноразового використання, нестерильний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Дихальна система гофрована, довжина 2,0 м, діаметром 22мм. Індивідуальна упаковка. Одноразового використання.</w:t>
            </w:r>
          </w:p>
        </w:tc>
      </w:tr>
      <w:tr w:rsidR="007B26B0" w:rsidRPr="007B26B0" w:rsidTr="007B26B0">
        <w:trPr>
          <w:trHeight w:val="126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Анестезіологічна дихальна система, 1,6 м, кутовий з`єднувач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Luer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педіатрична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37704 - Контур дихальний анестезіологічний, одноразового використання, нестерильний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Дихальна система гофрована для дітей , довжиною не менше 160 см, діаметром 15мм, У-подібний з'єднувач та Г-подібний з'єднувач з портом 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Luer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Lock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Індивідуальна упаковка. Одноразового використання.</w:t>
            </w:r>
          </w:p>
        </w:tc>
      </w:tr>
      <w:tr w:rsidR="007B26B0" w:rsidRPr="007B26B0" w:rsidTr="007B26B0">
        <w:trPr>
          <w:trHeight w:val="1417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Надглотковий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повітровод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I-Gel, розмір 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42424 - Повітропровід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ротоглотковий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одноразового використання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Надглотковий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повітровод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бути виготовлений з  медичного термопластичного матеріалу. Манжета прозора, м’яка,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гелеподібна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роздувна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анатомічно відповідає структурам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гортаноглотки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забезпечує герметичний контакт. Повинен містити вбудований шлунковий канал, призначений для відсмоктування шлункового вмісту та постановки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назогастрального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зонду. Розмір 3 для дорослих з вагою 30-60 кг. Стерильний. Одноразового використання. Індивідуальна упаковка.</w:t>
            </w: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№3.0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61" w:type="dxa"/>
            <w:vMerge w:val="restart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Повинні бути: - для оральної та назальної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виготовлені з термопластичного матеріалу-полівінілхлорид, без латексу; 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-мати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15 мм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коннектор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(з'єднувач);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-впаяна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рентгенконтрастна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смужка по всій довжині;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-нумерація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робочої поверхні через кожен 1 см; 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-подвійне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маркування глибини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-манжета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відсутня;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-наявність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бокового вічка Мерфі; Упаковка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cтерильна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індивідуальна,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Розміри: 3.0; 3.5; 4.0; 4.5; 5.0; 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5.5; 6.0; 6.5; 7.0</w:t>
            </w: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№3.5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№4.0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№4.5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№5.0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№5.5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№6.0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№6.5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без манжети №7.0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3.0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61" w:type="dxa"/>
            <w:vMerge w:val="restart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Повинні бути: - для оральної та назальної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виготовлені з термопластичного матеріалу-полівінілхлорид, без латексу; 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-мати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15 мм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коннектор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(з'єднувач);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-впаяна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рентгенконтрастна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смужка по всій довжині;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-нумерація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робочої поверхні через кожен 1 см; 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-подвійне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маркування глибини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;- манжета великого об’єму/низького тиску з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екстратонкими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стінками;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-наявність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бокового вічка Мерфі;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Упаковка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cтерильна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індивідуальна,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Розміри: 3.0; 3.5; 4.0; 4.5; 5.0; 5.5; 6.0; 6.5; 7.0</w:t>
            </w: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3.5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4.0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4.5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5.0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5.5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6.0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6.5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 з манжетою № 7.0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61" w:type="dxa"/>
            <w:vMerge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B26B0" w:rsidRPr="007B26B0" w:rsidTr="007B26B0">
        <w:trPr>
          <w:trHeight w:val="1917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Трубка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одноразового застосування, без манжети, армована,   розмір за потребою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61" w:type="dxa"/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оральної та назальної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трубка виготовлена з прозорого термопластичного ПВХ. 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Дистальний кінець трубки має заокруглений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атравматичний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кінець і додатковий отвір (вічко Мерфі).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Рентгенконтрастна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смуга по всій довжині трубки.  Металева спіраль в стінці трубки забезпечує додаткову ступінь стійкості до перегинів. Не містить латексу. Відсутня манжета. Розмір трубки за внутрішнім діаметром: (3.5 - 6,0) мм. Стерильна індивідуальна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упаковка. 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</w:tr>
      <w:tr w:rsidR="007B26B0" w:rsidRPr="007B26B0" w:rsidTr="007B26B0">
        <w:trPr>
          <w:trHeight w:val="2126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Трубка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одноразового застосування, з манжетою, армована, розмір за потребою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61" w:type="dxa"/>
            <w:shd w:val="clear" w:color="auto" w:fill="auto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оральної та назальної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трубка виготовлена з прозорого термопластичного ПВХ. </w:t>
            </w: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Містить манжету великого об`єму низького тиску і пілотний балон з клапаном для забезпечення ідентифікації та контролем наповнення манжети трубки. Дистальний кінець трубки має заокруглений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атравматичний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кінець і додатковий отвір (вічко Мерфі).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Рентгенконтрастна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смуга по всій довжині трубки.  Металева спіраль в стінці трубки забезпечує додаткову ступінь стійкості до перегинів. Не містить латексу. Розмір трубки за внутрішнім діаметром: (3.5 - 6,0) мм.  Стерильна індивідуальна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упаковка.</w:t>
            </w:r>
          </w:p>
        </w:tc>
      </w:tr>
      <w:tr w:rsidR="007B26B0" w:rsidRPr="007B26B0" w:rsidTr="007B26B0">
        <w:trPr>
          <w:trHeight w:val="2151"/>
        </w:trPr>
        <w:tc>
          <w:tcPr>
            <w:tcW w:w="64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Трубка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одноразового застосування, з манжетою, з каналом для аспірації, розмір за потребою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14085 Разова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ендотрахейна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трубка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:rsidR="007B26B0" w:rsidRPr="007B26B0" w:rsidRDefault="007B26B0" w:rsidP="007B26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Для оральної та назальної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Ендотрахеальна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трубка виготовлена з прозорого термопластичного ПВХ. Містить манжету великого об`єму низького тиску і пілотний балон з клапаном для забезпечення ідентифікації та контролем наповнення манжети трубки. Дистальний кінець трубки має заокруглений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атравматичний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кінець і додатковий отвір (вічко Мерфі).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Рентгенконтрастна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смуга по всій довжині трубки. Містить додатковий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аспіраційний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канал для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надманжеточної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аспірації. Не містить латексу. Розмір трубки за внутрішнім діаметром: (3.5 - 6,0) мм.  Стерильна індивідуальна </w:t>
            </w:r>
            <w:proofErr w:type="spellStart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блістерна</w:t>
            </w:r>
            <w:proofErr w:type="spellEnd"/>
            <w:r w:rsidRPr="007B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упаковка.</w:t>
            </w:r>
          </w:p>
        </w:tc>
      </w:tr>
    </w:tbl>
    <w:p w:rsidR="007B26B0" w:rsidRDefault="007B26B0" w:rsidP="005D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4A2" w:rsidRPr="00362005" w:rsidRDefault="00362005" w:rsidP="005D54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2005">
        <w:rPr>
          <w:rFonts w:ascii="Times New Roman" w:hAnsi="Times New Roman" w:cs="Times New Roman"/>
          <w:b/>
          <w:sz w:val="32"/>
          <w:szCs w:val="32"/>
        </w:rPr>
        <w:t xml:space="preserve">Загальна очікувана вартість закупівлі по лоту 1,2 складає: </w:t>
      </w:r>
      <w:r w:rsidR="007B26B0">
        <w:rPr>
          <w:rFonts w:ascii="Times New Roman" w:hAnsi="Times New Roman" w:cs="Times New Roman"/>
          <w:b/>
          <w:sz w:val="32"/>
          <w:szCs w:val="32"/>
        </w:rPr>
        <w:t>907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005">
        <w:rPr>
          <w:rFonts w:ascii="Times New Roman" w:hAnsi="Times New Roman" w:cs="Times New Roman"/>
          <w:b/>
          <w:sz w:val="32"/>
          <w:szCs w:val="32"/>
        </w:rPr>
        <w:t>000,00грн. (</w:t>
      </w:r>
      <w:r w:rsidR="007B26B0">
        <w:rPr>
          <w:rFonts w:ascii="Times New Roman" w:hAnsi="Times New Roman" w:cs="Times New Roman"/>
          <w:b/>
          <w:sz w:val="32"/>
          <w:szCs w:val="32"/>
        </w:rPr>
        <w:t xml:space="preserve">дев’ятсот сім </w:t>
      </w:r>
      <w:r w:rsidRPr="00362005">
        <w:rPr>
          <w:rFonts w:ascii="Times New Roman" w:hAnsi="Times New Roman" w:cs="Times New Roman"/>
          <w:b/>
          <w:sz w:val="32"/>
          <w:szCs w:val="32"/>
        </w:rPr>
        <w:t>тисяч гривень 00 коп.) з ПДВ.</w:t>
      </w:r>
    </w:p>
    <w:sectPr w:rsidR="005D54A2" w:rsidRPr="00362005" w:rsidSect="005D54A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4A2"/>
    <w:rsid w:val="00092A5A"/>
    <w:rsid w:val="001730EF"/>
    <w:rsid w:val="00362005"/>
    <w:rsid w:val="005D54A2"/>
    <w:rsid w:val="007B26B0"/>
    <w:rsid w:val="00A30EB1"/>
    <w:rsid w:val="00B3562A"/>
    <w:rsid w:val="00BF63EF"/>
    <w:rsid w:val="00C518B4"/>
    <w:rsid w:val="00D77D21"/>
    <w:rsid w:val="00DC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10964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2021-10-12T06:55:00Z</dcterms:created>
  <dcterms:modified xsi:type="dcterms:W3CDTF">2021-10-12T06:55:00Z</dcterms:modified>
</cp:coreProperties>
</file>