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9" w:rsidRPr="00311B34" w:rsidRDefault="00054D39" w:rsidP="00054D39">
      <w:pPr>
        <w:jc w:val="right"/>
        <w:rPr>
          <w:b/>
          <w:bCs/>
          <w:i/>
          <w:iCs/>
        </w:rPr>
      </w:pPr>
    </w:p>
    <w:p w:rsidR="00054D39" w:rsidRPr="00D52539" w:rsidRDefault="00054D39" w:rsidP="00054D39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054D39" w:rsidRPr="00D52539" w:rsidRDefault="00054D39" w:rsidP="00054D39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054D39" w:rsidRDefault="00054D39" w:rsidP="00054D39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D52539">
        <w:rPr>
          <w:b/>
          <w:bCs/>
        </w:rPr>
        <w:t>лікарські засоби різні</w:t>
      </w:r>
      <w:r w:rsidRPr="00D52539">
        <w:rPr>
          <w:b/>
        </w:rPr>
        <w:t xml:space="preserve"> -</w:t>
      </w:r>
      <w:r w:rsidRPr="00D52539">
        <w:rPr>
          <w:b/>
          <w:bCs/>
        </w:rPr>
        <w:t xml:space="preserve"> </w:t>
      </w:r>
      <w:r w:rsidRPr="00807FB5">
        <w:rPr>
          <w:b/>
          <w:bCs/>
        </w:rPr>
        <w:t xml:space="preserve">код </w:t>
      </w:r>
      <w:r w:rsidRPr="00807FB5">
        <w:rPr>
          <w:b/>
        </w:rPr>
        <w:t xml:space="preserve">ДК 021:2015: </w:t>
      </w:r>
      <w:r w:rsidRPr="00807FB5">
        <w:rPr>
          <w:b/>
          <w:bCs/>
        </w:rPr>
        <w:t>33690000-3</w:t>
      </w:r>
      <w:r w:rsidRPr="00807FB5">
        <w:rPr>
          <w:b/>
        </w:rPr>
        <w:t xml:space="preserve"> (</w:t>
      </w:r>
      <w:r>
        <w:rPr>
          <w:b/>
        </w:rPr>
        <w:t xml:space="preserve">реагенти лабораторні </w:t>
      </w:r>
      <w:r>
        <w:rPr>
          <w:rStyle w:val="a6"/>
          <w:b/>
          <w:color w:val="000000"/>
        </w:rPr>
        <w:t>2</w:t>
      </w:r>
      <w:r w:rsidRPr="00C175D7">
        <w:rPr>
          <w:rStyle w:val="a6"/>
          <w:b/>
          <w:color w:val="000000"/>
        </w:rPr>
        <w:t xml:space="preserve"> лоти: </w:t>
      </w:r>
      <w:r w:rsidRPr="00E87F9A">
        <w:rPr>
          <w:rStyle w:val="a6"/>
          <w:b/>
          <w:color w:val="000000"/>
        </w:rPr>
        <w:t xml:space="preserve">Лот №1 – </w:t>
      </w:r>
      <w:r w:rsidRPr="00760F89">
        <w:rPr>
          <w:rStyle w:val="a6"/>
          <w:b/>
        </w:rPr>
        <w:t xml:space="preserve"> </w:t>
      </w:r>
      <w:r w:rsidRPr="00766F2C">
        <w:rPr>
          <w:rStyle w:val="a6"/>
          <w:b/>
          <w:sz w:val="24"/>
          <w:szCs w:val="24"/>
        </w:rPr>
        <w:t>Реагенти до автоматичного аналізатору ШОЕ Roller 20 PN, Alifax</w:t>
      </w:r>
      <w:r>
        <w:rPr>
          <w:rStyle w:val="a6"/>
          <w:b/>
          <w:color w:val="000000"/>
        </w:rPr>
        <w:t xml:space="preserve">; Лот №2 - </w:t>
      </w:r>
      <w:r w:rsidRPr="00766F2C">
        <w:rPr>
          <w:rStyle w:val="a6"/>
          <w:b/>
          <w:color w:val="000000"/>
          <w:sz w:val="24"/>
          <w:szCs w:val="24"/>
        </w:rPr>
        <w:t>Реагенти до Система детекції продуктів ПЛР в реальному часі CFX 96</w:t>
      </w:r>
      <w:r w:rsidRPr="00636A5B">
        <w:rPr>
          <w:b/>
        </w:rPr>
        <w:t>)</w:t>
      </w:r>
    </w:p>
    <w:p w:rsidR="00054D39" w:rsidRDefault="00054D39" w:rsidP="00054D3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669"/>
        <w:gridCol w:w="2888"/>
        <w:gridCol w:w="980"/>
        <w:gridCol w:w="1069"/>
        <w:gridCol w:w="2204"/>
        <w:gridCol w:w="2551"/>
      </w:tblGrid>
      <w:tr w:rsidR="00054D39" w:rsidTr="00CB00E3">
        <w:trPr>
          <w:trHeight w:val="10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№з/п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реактиву, або еквівалент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Од.вим.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Загальна кількість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НАЦІОНАЛЬНИЙ КЛАСИФІКАТОР УКРАЇНИ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Єдиний закупівельний словник ДК 021:2015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024:2019</w:t>
            </w:r>
          </w:p>
        </w:tc>
      </w:tr>
      <w:tr w:rsidR="00054D39" w:rsidTr="00CB00E3">
        <w:trPr>
          <w:trHeight w:val="300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D39" w:rsidRDefault="00054D39" w:rsidP="00CB0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№1 - </w:t>
            </w:r>
            <w:r w:rsidRPr="00766F2C">
              <w:rPr>
                <w:rStyle w:val="a6"/>
                <w:b/>
                <w:sz w:val="24"/>
                <w:szCs w:val="24"/>
              </w:rPr>
              <w:t>Реагенти до автоматичного аналізатору ШОЕ Roller 20 PN, Alifax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054D39" w:rsidRPr="009D64DF" w:rsidTr="00CB00E3">
        <w:trPr>
          <w:trHeight w:val="89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D39" w:rsidRPr="008E558B" w:rsidRDefault="00054D39" w:rsidP="00CB00E3">
            <w:pPr>
              <w:jc w:val="center"/>
            </w:pPr>
            <w:r w:rsidRPr="008E558B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Латексні контролі/Latex Controls (30 тестів)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паков.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D39" w:rsidRPr="008E558B" w:rsidRDefault="00054D3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55972 - Швидкість осідання еритроцитів (ШОЕ) IVD, контрольний матеріал</w:t>
            </w:r>
          </w:p>
        </w:tc>
      </w:tr>
      <w:tr w:rsidR="00054D39" w:rsidRPr="009D64DF" w:rsidTr="00CB00E3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D39" w:rsidRPr="008E558B" w:rsidRDefault="00054D39" w:rsidP="00CB00E3">
            <w:pPr>
              <w:jc w:val="center"/>
            </w:pPr>
            <w:r w:rsidRPr="008E558B"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Латексні калібратори/Latex calibrator (6 тестів)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D39" w:rsidRPr="008E558B" w:rsidRDefault="00054D3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55971 - Швидкість осідання еритроцитів (ШОЕ) IVD, калібратор</w:t>
            </w:r>
          </w:p>
        </w:tc>
      </w:tr>
      <w:tr w:rsidR="00054D39" w:rsidRPr="009D64DF" w:rsidTr="00CB00E3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D39" w:rsidRPr="008E558B" w:rsidRDefault="00054D39" w:rsidP="00CB00E3">
            <w:pPr>
              <w:jc w:val="center"/>
            </w:pPr>
            <w:r w:rsidRPr="008E558B"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Універсальна карткана 10 000 тестів ШОЕ/Universal Card for ERS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D39" w:rsidRPr="008E558B" w:rsidRDefault="00054D3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55970 - Швидкість осідання еритроцитів (ШОЕ) IVD, набір</w:t>
            </w:r>
          </w:p>
        </w:tc>
      </w:tr>
      <w:tr w:rsidR="00054D39" w:rsidTr="00CB00E3">
        <w:trPr>
          <w:trHeight w:val="495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39" w:rsidRDefault="00054D39" w:rsidP="00CB0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№2 - </w:t>
            </w:r>
            <w:r w:rsidRPr="00766F2C">
              <w:rPr>
                <w:rStyle w:val="a6"/>
                <w:b/>
                <w:color w:val="000000"/>
                <w:sz w:val="24"/>
                <w:szCs w:val="24"/>
              </w:rPr>
              <w:t>Реагенти до Система детекції продуктів ПЛР в реальному часі CFX 96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054D39" w:rsidTr="00CB0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AmpliSens® HCV-FRT PCR kit Модель: варіант FRT або аналог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Набір для виявлення нуклеїнових 30742 кислот вірусу гепатиту С</w:t>
            </w:r>
          </w:p>
        </w:tc>
      </w:tr>
      <w:tr w:rsidR="00054D39" w:rsidTr="00CB00E3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AmpliSens® HBV-FRT PCR kit Модель: варiант FRT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ВІЛ-1/Вірус гепатиту C/Вірус гепатиту В нуклеїнова кислота IVD, набір, 48216 аналіз нуклеїнових кислот</w:t>
            </w:r>
          </w:p>
        </w:tc>
      </w:tr>
      <w:tr w:rsidR="00054D39" w:rsidTr="00CB00E3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AmpliSens® HСV - Monitor FRT PCR kit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Набір для виявлення нуклеїнових 30742 кислот вірусу гепатиту С</w:t>
            </w:r>
          </w:p>
        </w:tc>
      </w:tr>
      <w:tr w:rsidR="00054D3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AmpliSens® HВV- Monitor FRT PCR kit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ВІЛ-1/Вірус гепатиту C/Вірус гепатиту В нуклеїнова кислота IVD, набір, 48216 аналіз нуклеїнових кислот</w:t>
            </w:r>
          </w:p>
        </w:tc>
      </w:tr>
      <w:tr w:rsidR="00054D39" w:rsidTr="00CB00E3">
        <w:trPr>
          <w:trHeight w:val="1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AmpliSens® EBV / CMV / HHV6-screen-FRT PCR kit  Модель: варiант FRT-100 F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Вірус Epstein-Barr (EBV) нуклеїнова кислота IVD, набір, аналіз 49653 нуклеїнових кислот;  Cytomegalovirus (CMV) нуклеїнова 49711 кислота IVD, реагент; Вірус людського герпесу 6 (HHV6) нуклеїнова кислота IVD, набір, аналіз 49743 нуклеїнових кислот</w:t>
            </w:r>
          </w:p>
        </w:tc>
      </w:tr>
      <w:tr w:rsidR="00054D39" w:rsidTr="00CB00E3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MAGNO-sorb nucleic acid extraction kit Модель: варіант 100-200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Екстракція/ізоляція нуклеїнових 52521 кислот, набір І\/0</w:t>
            </w:r>
          </w:p>
        </w:tc>
      </w:tr>
      <w:tr w:rsidR="00054D39" w:rsidTr="00CB00E3">
        <w:trPr>
          <w:trHeight w:val="9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t>Реагент:Hemolytic для попередньої обробки цільної переферичної крові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Екстракція/ізоляція нуклеїнових 52521 кислот, набір І\/1</w:t>
            </w:r>
          </w:p>
        </w:tc>
      </w:tr>
      <w:tr w:rsidR="00054D39" w:rsidTr="00CB00E3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 DNA-sorb-B  nucleic acid extraction kit, Модель: варiант 100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Екстракція/ізоляція нуклеїнових 52521 кислот, набір І\/0</w:t>
            </w:r>
          </w:p>
        </w:tc>
      </w:tr>
      <w:tr w:rsidR="00054D39" w:rsidTr="00CB00E3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r>
              <w:rPr>
                <w:sz w:val="22"/>
                <w:szCs w:val="22"/>
              </w:rPr>
              <w:t>Набір реагентів RIBO-sorb nucleic acid extraction kitМодель: варіант 100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39" w:rsidRPr="009D64DF" w:rsidRDefault="00054D3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39" w:rsidRDefault="00054D39" w:rsidP="00CB00E3">
            <w:pPr>
              <w:jc w:val="center"/>
            </w:pPr>
            <w:r>
              <w:rPr>
                <w:sz w:val="22"/>
                <w:szCs w:val="22"/>
              </w:rPr>
              <w:t>Екстракція/ізоляція нуклеїнових 52521 кислот, набір І\/0</w:t>
            </w:r>
          </w:p>
        </w:tc>
      </w:tr>
    </w:tbl>
    <w:p w:rsidR="00054D39" w:rsidRDefault="00054D39" w:rsidP="00054D3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054D39" w:rsidRPr="002C4391" w:rsidRDefault="00054D39" w:rsidP="00054D39">
      <w:pPr>
        <w:ind w:firstLine="357"/>
        <w:jc w:val="both"/>
        <w:rPr>
          <w:b/>
          <w:u w:val="single"/>
        </w:rPr>
      </w:pPr>
      <w:r w:rsidRPr="002C4391">
        <w:rPr>
          <w:b/>
          <w:u w:val="single"/>
        </w:rPr>
        <w:t xml:space="preserve">Додаткові медико-технічні вимоги до </w:t>
      </w:r>
      <w:r w:rsidRPr="008E558B">
        <w:rPr>
          <w:b/>
          <w:bCs/>
          <w:color w:val="000000"/>
          <w:u w:val="single"/>
        </w:rPr>
        <w:t>Лот</w:t>
      </w:r>
      <w:r>
        <w:rPr>
          <w:b/>
          <w:bCs/>
          <w:color w:val="000000"/>
          <w:u w:val="single"/>
        </w:rPr>
        <w:t>у</w:t>
      </w:r>
      <w:r w:rsidRPr="008E558B">
        <w:rPr>
          <w:b/>
          <w:bCs/>
          <w:color w:val="000000"/>
          <w:u w:val="single"/>
        </w:rPr>
        <w:t xml:space="preserve"> №1 - </w:t>
      </w:r>
      <w:r w:rsidRPr="00894B4B">
        <w:rPr>
          <w:rStyle w:val="a6"/>
          <w:b/>
          <w:sz w:val="24"/>
          <w:szCs w:val="24"/>
          <w:u w:val="single"/>
        </w:rPr>
        <w:t>Реагенти до автоматичного аналізатору ШОЕ Roller 20 PN, Alifax</w:t>
      </w:r>
      <w:r w:rsidRPr="008E558B">
        <w:rPr>
          <w:b/>
          <w:u w:val="single"/>
        </w:rPr>
        <w:t>:</w:t>
      </w:r>
    </w:p>
    <w:p w:rsidR="00054D39" w:rsidRDefault="00054D39" w:rsidP="00054D39">
      <w:pPr>
        <w:spacing w:line="312" w:lineRule="auto"/>
        <w:ind w:firstLine="357"/>
        <w:jc w:val="both"/>
        <w:rPr>
          <w:b/>
          <w:u w:val="single"/>
        </w:rPr>
      </w:pPr>
    </w:p>
    <w:p w:rsidR="00054D39" w:rsidRPr="00F90532" w:rsidRDefault="00054D39" w:rsidP="00054D39">
      <w:pPr>
        <w:ind w:firstLine="357"/>
        <w:jc w:val="both"/>
        <w:rPr>
          <w:b/>
          <w:u w:val="single"/>
        </w:rPr>
      </w:pPr>
      <w:r w:rsidRPr="00F90532">
        <w:rPr>
          <w:b/>
          <w:u w:val="single"/>
        </w:rPr>
        <w:t>Загальні:</w:t>
      </w:r>
    </w:p>
    <w:p w:rsidR="00054D39" w:rsidRPr="00F90532" w:rsidRDefault="00054D39" w:rsidP="00054D39">
      <w:pPr>
        <w:ind w:firstLine="357"/>
        <w:jc w:val="both"/>
      </w:pPr>
      <w:r w:rsidRPr="00F90532">
        <w:t>1. До набору реагентів</w:t>
      </w:r>
      <w:r w:rsidRPr="00F90532">
        <w:rPr>
          <w:lang w:val="ru-RU"/>
        </w:rPr>
        <w:t xml:space="preserve"> </w:t>
      </w:r>
      <w:r w:rsidRPr="00F90532">
        <w:t>повинні входити всі необхідні реактиви відповідно до методики проведення аналізу.</w:t>
      </w:r>
    </w:p>
    <w:p w:rsidR="00054D39" w:rsidRPr="00F90532" w:rsidRDefault="00054D39" w:rsidP="00054D39">
      <w:pPr>
        <w:ind w:firstLine="357"/>
        <w:jc w:val="both"/>
      </w:pPr>
      <w:r w:rsidRPr="00F90532"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054D39" w:rsidRPr="00F90532" w:rsidRDefault="00054D39" w:rsidP="00054D39">
      <w:pPr>
        <w:ind w:firstLine="357"/>
        <w:jc w:val="both"/>
      </w:pPr>
      <w:r w:rsidRPr="00F90532"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054D39" w:rsidRPr="00F90532" w:rsidRDefault="00054D39" w:rsidP="00054D39">
      <w:pPr>
        <w:ind w:firstLine="357"/>
        <w:jc w:val="both"/>
      </w:pPr>
      <w:r w:rsidRPr="00F90532">
        <w:t>4. 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054D39" w:rsidRPr="00F90532" w:rsidRDefault="00054D39" w:rsidP="00054D39">
      <w:pPr>
        <w:ind w:firstLine="357"/>
        <w:jc w:val="both"/>
      </w:pPr>
      <w:r w:rsidRPr="00F90532">
        <w:t>5. Концентрація аналіту в контролях та калібраторах має гарантовано відповідати, вказаній у паспорті та бути стабільною протягом терміну, встановленому для кожної позиції.</w:t>
      </w:r>
    </w:p>
    <w:p w:rsidR="00054D39" w:rsidRPr="00F90532" w:rsidRDefault="00054D39" w:rsidP="00054D39">
      <w:pPr>
        <w:ind w:firstLine="357"/>
        <w:jc w:val="both"/>
      </w:pPr>
      <w:r w:rsidRPr="00F90532">
        <w:t xml:space="preserve">6. Контрольний матеріал має бути адаптованим до приладу та тест-системи, що використовуються в лабораторії та мати відповідне підтвердження в паспорті до контрольного матеріалу, або в листі від фірми-постачальника. </w:t>
      </w:r>
    </w:p>
    <w:p w:rsidR="00054D39" w:rsidRPr="00F90532" w:rsidRDefault="00054D39" w:rsidP="00054D39">
      <w:pPr>
        <w:ind w:firstLine="357"/>
        <w:jc w:val="both"/>
      </w:pPr>
      <w:r w:rsidRPr="00F90532">
        <w:t>7.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054D39" w:rsidRPr="00EA0113" w:rsidRDefault="00054D39" w:rsidP="00054D39">
      <w:pPr>
        <w:jc w:val="both"/>
        <w:rPr>
          <w:b/>
          <w:bCs/>
          <w:sz w:val="26"/>
          <w:szCs w:val="26"/>
        </w:rPr>
      </w:pPr>
    </w:p>
    <w:p w:rsidR="00054D39" w:rsidRPr="002C4391" w:rsidRDefault="00054D39" w:rsidP="00054D39">
      <w:pPr>
        <w:ind w:firstLine="357"/>
        <w:jc w:val="both"/>
        <w:rPr>
          <w:b/>
          <w:u w:val="single"/>
        </w:rPr>
      </w:pPr>
      <w:r w:rsidRPr="002C4391">
        <w:rPr>
          <w:b/>
          <w:u w:val="single"/>
        </w:rPr>
        <w:t xml:space="preserve">Додаткові медико-технічні вимоги до </w:t>
      </w:r>
      <w:r w:rsidRPr="008E558B">
        <w:rPr>
          <w:b/>
          <w:bCs/>
          <w:color w:val="000000"/>
          <w:u w:val="single"/>
        </w:rPr>
        <w:t>Лот</w:t>
      </w:r>
      <w:r>
        <w:rPr>
          <w:b/>
          <w:bCs/>
          <w:color w:val="000000"/>
          <w:u w:val="single"/>
        </w:rPr>
        <w:t>у</w:t>
      </w:r>
      <w:r w:rsidRPr="008E558B">
        <w:rPr>
          <w:b/>
          <w:bCs/>
          <w:color w:val="000000"/>
          <w:u w:val="single"/>
        </w:rPr>
        <w:t xml:space="preserve"> №</w:t>
      </w:r>
      <w:r>
        <w:rPr>
          <w:b/>
          <w:bCs/>
          <w:color w:val="000000"/>
          <w:u w:val="single"/>
        </w:rPr>
        <w:t>2</w:t>
      </w:r>
      <w:r w:rsidRPr="008E558B">
        <w:rPr>
          <w:b/>
          <w:bCs/>
          <w:color w:val="000000"/>
          <w:u w:val="single"/>
        </w:rPr>
        <w:t xml:space="preserve"> - </w:t>
      </w:r>
      <w:r w:rsidRPr="00894B4B">
        <w:rPr>
          <w:rStyle w:val="a6"/>
          <w:b/>
          <w:color w:val="000000"/>
          <w:sz w:val="24"/>
          <w:szCs w:val="24"/>
          <w:u w:val="single"/>
        </w:rPr>
        <w:t>Реагенти до Система детекції продуктів ПЛР в реальному часі CFX 96</w:t>
      </w:r>
      <w:r w:rsidRPr="008E558B">
        <w:rPr>
          <w:b/>
          <w:u w:val="single"/>
        </w:rPr>
        <w:t>:</w:t>
      </w:r>
    </w:p>
    <w:p w:rsidR="00054D39" w:rsidRDefault="00054D39" w:rsidP="00054D39">
      <w:pPr>
        <w:spacing w:line="312" w:lineRule="auto"/>
        <w:ind w:firstLine="357"/>
        <w:jc w:val="both"/>
        <w:rPr>
          <w:b/>
          <w:u w:val="single"/>
        </w:rPr>
      </w:pPr>
    </w:p>
    <w:p w:rsidR="00054D39" w:rsidRPr="008E558B" w:rsidRDefault="00054D39" w:rsidP="00054D39">
      <w:pPr>
        <w:spacing w:line="312" w:lineRule="auto"/>
        <w:ind w:firstLine="357"/>
        <w:jc w:val="both"/>
        <w:rPr>
          <w:b/>
          <w:u w:val="single"/>
        </w:rPr>
      </w:pPr>
      <w:r w:rsidRPr="008E558B">
        <w:rPr>
          <w:b/>
          <w:u w:val="single"/>
        </w:rPr>
        <w:t>Загальні:</w:t>
      </w:r>
    </w:p>
    <w:p w:rsidR="00054D39" w:rsidRPr="00D80687" w:rsidRDefault="00054D39" w:rsidP="00054D39">
      <w:pPr>
        <w:ind w:firstLine="357"/>
        <w:jc w:val="both"/>
      </w:pPr>
      <w:r w:rsidRPr="000B6FA2">
        <w:t>1</w:t>
      </w:r>
      <w:r w:rsidRPr="00D80687">
        <w:t>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054D39" w:rsidRDefault="00054D39" w:rsidP="00054D39">
      <w:pPr>
        <w:ind w:right="-88" w:firstLine="425"/>
      </w:pPr>
      <w:r w:rsidRPr="00D80687">
        <w:t>2. Реактиви повинні мати зручну форму для використання з мінімальним етапом підготовки, містит</w:t>
      </w:r>
      <w:r>
        <w:t xml:space="preserve">и готові до використання суміші  для економії часу постановки та </w:t>
      </w:r>
      <w:r w:rsidRPr="00D80687">
        <w:t xml:space="preserve"> забезпечення вищої точності аналізу </w:t>
      </w:r>
      <w:r>
        <w:t>і</w:t>
      </w:r>
      <w:r w:rsidRPr="00D80687">
        <w:t xml:space="preserve"> запобігання можливим механічни</w:t>
      </w:r>
      <w:r>
        <w:t>х</w:t>
      </w:r>
      <w:r w:rsidRPr="00D80687">
        <w:t xml:space="preserve"> помил</w:t>
      </w:r>
      <w:r>
        <w:t>ок</w:t>
      </w:r>
      <w:r w:rsidRPr="00D80687">
        <w:t xml:space="preserve">. </w:t>
      </w:r>
    </w:p>
    <w:p w:rsidR="00054D39" w:rsidRPr="00D80687" w:rsidRDefault="00054D39" w:rsidP="00054D39">
      <w:pPr>
        <w:ind w:right="-88" w:firstLine="357"/>
        <w:jc w:val="both"/>
      </w:pPr>
      <w:r>
        <w:t>3</w:t>
      </w:r>
      <w:r w:rsidRPr="00D80687">
        <w:t>. Реактиви повинні мати повну комплектацію та неушкоджену упаковку.</w:t>
      </w:r>
    </w:p>
    <w:p w:rsidR="00054D39" w:rsidRPr="00D80687" w:rsidRDefault="00054D39" w:rsidP="00054D39">
      <w:pPr>
        <w:ind w:right="-88" w:firstLine="357"/>
        <w:jc w:val="both"/>
      </w:pPr>
      <w:r>
        <w:t>4</w:t>
      </w:r>
      <w:r w:rsidRPr="00D80687">
        <w:t>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054D39" w:rsidRPr="00D80687" w:rsidRDefault="00054D39" w:rsidP="00054D39">
      <w:pPr>
        <w:ind w:right="-88" w:firstLine="357"/>
        <w:jc w:val="both"/>
      </w:pPr>
      <w:r>
        <w:t>5</w:t>
      </w:r>
      <w:r w:rsidRPr="00D80687">
        <w:t>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054D39" w:rsidRPr="00D80687" w:rsidRDefault="00054D39" w:rsidP="00054D39">
      <w:pPr>
        <w:ind w:firstLine="357"/>
        <w:jc w:val="both"/>
      </w:pPr>
      <w:r w:rsidRPr="00D80687">
        <w:t>6. Набори для ампліфікації та екстракції повинні бути одного виробника для уніфікації протоколів постановок аналізу, економії часу та фінансових ресурсів лабораторії.</w:t>
      </w:r>
    </w:p>
    <w:p w:rsidR="00054D39" w:rsidRDefault="00054D39" w:rsidP="00054D39">
      <w:pPr>
        <w:ind w:firstLine="426"/>
      </w:pPr>
      <w:r w:rsidRPr="00D80687">
        <w:t xml:space="preserve">7. Набори для ампліфікації повинні бути сумісні із наборами для екстракції нуклеїнових кислот «АмпліСенс». </w:t>
      </w:r>
    </w:p>
    <w:p w:rsidR="00054D39" w:rsidRPr="0085286B" w:rsidRDefault="00054D39" w:rsidP="00054D39">
      <w:pPr>
        <w:ind w:firstLine="426"/>
      </w:pPr>
      <w:r>
        <w:lastRenderedPageBreak/>
        <w:t xml:space="preserve">8. Набір реагентів </w:t>
      </w:r>
      <w:r w:rsidRPr="0085286B">
        <w:t>EBV / CMV / HHV6-screen-FRT повинен бути призначений для  одночасного якісного та кількісного виявлення НК EBV/CMV/HHV6. Заявлений набір реагентів використовується для моніторингу ефективності лікування, тому кількісне визначення є принциповим.</w:t>
      </w:r>
    </w:p>
    <w:p w:rsidR="00054D39" w:rsidRDefault="00054D39" w:rsidP="00054D3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054D39" w:rsidRPr="00A15D9C" w:rsidRDefault="00054D39" w:rsidP="00054D39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Default="001730EF"/>
    <w:sectPr w:rsidR="001730EF" w:rsidSect="00054D39">
      <w:footerReference w:type="even" r:id="rId6"/>
      <w:footerReference w:type="default" r:id="rId7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B3" w:rsidRDefault="00C270B3" w:rsidP="00770C3C">
      <w:r>
        <w:separator/>
      </w:r>
    </w:p>
  </w:endnote>
  <w:endnote w:type="continuationSeparator" w:id="1">
    <w:p w:rsidR="00C270B3" w:rsidRDefault="00C270B3" w:rsidP="0077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770C3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4D3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C270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770C3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4D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1BA5">
      <w:rPr>
        <w:rStyle w:val="a3"/>
        <w:noProof/>
      </w:rPr>
      <w:t>2</w:t>
    </w:r>
    <w:r>
      <w:rPr>
        <w:rStyle w:val="a3"/>
      </w:rPr>
      <w:fldChar w:fldCharType="end"/>
    </w:r>
  </w:p>
  <w:p w:rsidR="00956E3F" w:rsidRDefault="00C270B3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B3" w:rsidRDefault="00C270B3" w:rsidP="00770C3C">
      <w:r>
        <w:separator/>
      </w:r>
    </w:p>
  </w:footnote>
  <w:footnote w:type="continuationSeparator" w:id="1">
    <w:p w:rsidR="00C270B3" w:rsidRDefault="00C270B3" w:rsidP="00770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D39"/>
    <w:rsid w:val="00054D39"/>
    <w:rsid w:val="001730EF"/>
    <w:rsid w:val="0018622F"/>
    <w:rsid w:val="00770C3C"/>
    <w:rsid w:val="00AB1BA5"/>
    <w:rsid w:val="00C270B3"/>
    <w:rsid w:val="00D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4D39"/>
  </w:style>
  <w:style w:type="paragraph" w:styleId="a4">
    <w:name w:val="footer"/>
    <w:basedOn w:val="a"/>
    <w:link w:val="a5"/>
    <w:rsid w:val="00054D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4D39"/>
    <w:pPr>
      <w:spacing w:before="100" w:beforeAutospacing="1" w:after="100" w:afterAutospacing="1"/>
    </w:pPr>
    <w:rPr>
      <w:rFonts w:eastAsia="Calibri"/>
      <w:lang w:eastAsia="uk-UA"/>
    </w:rPr>
  </w:style>
  <w:style w:type="paragraph" w:styleId="HTML">
    <w:name w:val="HTML Preformatted"/>
    <w:aliases w:val="Знак9"/>
    <w:basedOn w:val="a"/>
    <w:link w:val="HTML0"/>
    <w:rsid w:val="0005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054D39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6">
    <w:name w:val="Основний текст_"/>
    <w:link w:val="a7"/>
    <w:rsid w:val="00054D39"/>
    <w:rPr>
      <w:sz w:val="23"/>
      <w:szCs w:val="23"/>
      <w:shd w:val="clear" w:color="auto" w:fill="FFFFFF"/>
    </w:rPr>
  </w:style>
  <w:style w:type="paragraph" w:customStyle="1" w:styleId="a7">
    <w:name w:val="Основний текст"/>
    <w:basedOn w:val="a"/>
    <w:link w:val="a6"/>
    <w:rsid w:val="00054D39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3822</Words>
  <Characters>2180</Characters>
  <Application>Microsoft Office Word</Application>
  <DocSecurity>0</DocSecurity>
  <Lines>18</Lines>
  <Paragraphs>11</Paragraphs>
  <ScaleCrop>false</ScaleCrop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2021-11-09T09:33:00Z</dcterms:created>
  <dcterms:modified xsi:type="dcterms:W3CDTF">2021-11-09T09:33:00Z</dcterms:modified>
</cp:coreProperties>
</file>