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B" w:rsidRPr="00E433A0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AF57DA" w:rsidRPr="00567590" w:rsidRDefault="00AF57DA" w:rsidP="00AF57DA">
      <w:pPr>
        <w:jc w:val="center"/>
        <w:outlineLvl w:val="0"/>
        <w:rPr>
          <w:rFonts w:ascii="Times New Roman" w:hAnsi="Times New Roman" w:cs="Times New Roman"/>
          <w:b/>
        </w:rPr>
      </w:pPr>
      <w:r w:rsidRPr="00567590">
        <w:rPr>
          <w:rFonts w:ascii="Times New Roman" w:hAnsi="Times New Roman" w:cs="Times New Roman"/>
          <w:b/>
        </w:rPr>
        <w:t>на закупівлю по предмету</w:t>
      </w:r>
    </w:p>
    <w:p w:rsidR="00AF57DA" w:rsidRPr="00AF57DA" w:rsidRDefault="00AF57DA" w:rsidP="00AF57D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7DA">
        <w:rPr>
          <w:rFonts w:ascii="Times New Roman" w:hAnsi="Times New Roman" w:cs="Times New Roman"/>
          <w:b/>
          <w:sz w:val="26"/>
          <w:szCs w:val="26"/>
        </w:rPr>
        <w:t xml:space="preserve">Засоби для прання і миття - код ДК 021:2015 : 39830000-9 «Продукція для чищення» </w:t>
      </w:r>
    </w:p>
    <w:p w:rsidR="00AB630E" w:rsidRPr="00AB630E" w:rsidRDefault="00AB630E" w:rsidP="00AB6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3844973"/>
    </w:p>
    <w:tbl>
      <w:tblPr>
        <w:tblStyle w:val="TableNormal1"/>
        <w:tblW w:w="106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4"/>
        <w:gridCol w:w="1710"/>
        <w:gridCol w:w="1710"/>
        <w:gridCol w:w="1834"/>
      </w:tblGrid>
      <w:tr w:rsidR="00A44027" w:rsidRPr="00AB630E" w:rsidTr="00A44027">
        <w:trPr>
          <w:trHeight w:val="283"/>
        </w:trPr>
        <w:tc>
          <w:tcPr>
            <w:tcW w:w="5364" w:type="dxa"/>
          </w:tcPr>
          <w:p w:rsidR="00A44027" w:rsidRPr="00AB630E" w:rsidRDefault="00A44027" w:rsidP="00A44027">
            <w:pPr>
              <w:spacing w:line="256" w:lineRule="exact"/>
              <w:ind w:left="1934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Найменування товару</w:t>
            </w:r>
          </w:p>
        </w:tc>
        <w:tc>
          <w:tcPr>
            <w:tcW w:w="1710" w:type="dxa"/>
          </w:tcPr>
          <w:p w:rsidR="00A44027" w:rsidRPr="00AB630E" w:rsidRDefault="00A44027" w:rsidP="00A44027">
            <w:pPr>
              <w:spacing w:before="4" w:line="252" w:lineRule="exact"/>
              <w:ind w:left="8"/>
              <w:jc w:val="center"/>
              <w:rPr>
                <w:rFonts w:ascii="Calibri" w:eastAsia="Times New Roman" w:hAnsi="Calibri" w:cs="Times New Roman"/>
                <w:lang w:val="uk" w:eastAsia="uk"/>
              </w:rPr>
            </w:pPr>
            <w:r w:rsidRPr="00AB630E">
              <w:rPr>
                <w:rFonts w:ascii="Calibri" w:eastAsia="Times New Roman" w:hAnsi="Calibri" w:cs="Times New Roman"/>
                <w:lang w:val="uk" w:eastAsia="uk"/>
              </w:rPr>
              <w:t>№</w:t>
            </w:r>
          </w:p>
        </w:tc>
        <w:tc>
          <w:tcPr>
            <w:tcW w:w="1710" w:type="dxa"/>
          </w:tcPr>
          <w:p w:rsidR="00A44027" w:rsidRPr="00AB630E" w:rsidRDefault="00A44027" w:rsidP="00A44027">
            <w:pPr>
              <w:spacing w:line="256" w:lineRule="exact"/>
              <w:ind w:left="333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uk"/>
              </w:rPr>
            </w:pP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lang w:val="ru-RU" w:eastAsia="uk"/>
              </w:rPr>
              <w:t>фасування</w:t>
            </w:r>
            <w:proofErr w:type="spellEnd"/>
          </w:p>
        </w:tc>
        <w:tc>
          <w:tcPr>
            <w:tcW w:w="1834" w:type="dxa"/>
          </w:tcPr>
          <w:p w:rsidR="00A44027" w:rsidRPr="00AB630E" w:rsidRDefault="00A44027" w:rsidP="00A44027">
            <w:pPr>
              <w:spacing w:line="256" w:lineRule="exact"/>
              <w:ind w:left="333" w:right="32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uk"/>
              </w:rPr>
            </w:pP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lang w:val="ru-RU" w:eastAsia="uk"/>
              </w:rPr>
              <w:t>кілкість</w:t>
            </w:r>
            <w:proofErr w:type="spellEnd"/>
          </w:p>
        </w:tc>
      </w:tr>
      <w:tr w:rsidR="00A44027" w:rsidRPr="00AB630E" w:rsidTr="00A44027">
        <w:trPr>
          <w:trHeight w:val="285"/>
        </w:trPr>
        <w:tc>
          <w:tcPr>
            <w:tcW w:w="5364" w:type="dxa"/>
          </w:tcPr>
          <w:p w:rsidR="00A44027" w:rsidRPr="00AB630E" w:rsidRDefault="00A44027" w:rsidP="00A44027">
            <w:pPr>
              <w:spacing w:before="1" w:line="257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Засіб </w:t>
            </w:r>
            <w:r w:rsidRPr="00AB630E">
              <w:rPr>
                <w:rFonts w:ascii="Times New Roman" w:eastAsia="Times New Roman" w:hAnsi="Times New Roman" w:cs="Times New Roman"/>
                <w:sz w:val="24"/>
                <w:lang w:val="uk-UA" w:eastAsia="uk"/>
              </w:rPr>
              <w:t xml:space="preserve">мийний дезінфекційний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Термосепт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ЕндоКлінер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(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thermosept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EndoCleaner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)», 5л</w:t>
            </w:r>
          </w:p>
        </w:tc>
        <w:tc>
          <w:tcPr>
            <w:tcW w:w="1710" w:type="dxa"/>
          </w:tcPr>
          <w:p w:rsidR="00A44027" w:rsidRPr="00AB630E" w:rsidRDefault="00A44027" w:rsidP="00A44027">
            <w:pPr>
              <w:spacing w:before="4" w:line="254" w:lineRule="exact"/>
              <w:ind w:left="9"/>
              <w:jc w:val="center"/>
              <w:rPr>
                <w:rFonts w:ascii="Calibri" w:eastAsia="Times New Roman" w:hAnsi="Times New Roman" w:cs="Times New Roman"/>
                <w:lang w:val="uk" w:eastAsia="uk"/>
              </w:rPr>
            </w:pPr>
            <w:r w:rsidRPr="00AB630E">
              <w:rPr>
                <w:rFonts w:ascii="Calibri" w:eastAsia="Times New Roman" w:hAnsi="Times New Roman" w:cs="Times New Roman"/>
                <w:lang w:val="uk" w:eastAsia="uk"/>
              </w:rPr>
              <w:t>1</w:t>
            </w:r>
          </w:p>
        </w:tc>
        <w:tc>
          <w:tcPr>
            <w:tcW w:w="1710" w:type="dxa"/>
          </w:tcPr>
          <w:p w:rsidR="00A44027" w:rsidRPr="00AB630E" w:rsidRDefault="00A44027" w:rsidP="00A44027">
            <w:pPr>
              <w:spacing w:before="1" w:line="257" w:lineRule="exact"/>
              <w:ind w:left="331" w:right="326"/>
              <w:jc w:val="center"/>
              <w:rPr>
                <w:rFonts w:ascii="Times New Roman" w:eastAsia="Times New Roman" w:hAnsi="Times New Roman" w:cs="Times New Roman"/>
                <w:b/>
                <w:lang w:val="uk-UA" w:eastAsia="uk"/>
              </w:rPr>
            </w:pPr>
            <w:r w:rsidRPr="00AB630E">
              <w:rPr>
                <w:rFonts w:ascii="Times New Roman" w:eastAsia="Times New Roman" w:hAnsi="Times New Roman" w:cs="Times New Roman"/>
                <w:b/>
                <w:lang w:val="uk-UA" w:eastAsia="uk"/>
              </w:rPr>
              <w:t>каністра</w:t>
            </w:r>
          </w:p>
        </w:tc>
        <w:tc>
          <w:tcPr>
            <w:tcW w:w="1834" w:type="dxa"/>
          </w:tcPr>
          <w:p w:rsidR="00A44027" w:rsidRPr="00AB630E" w:rsidRDefault="00A44027" w:rsidP="00A44027">
            <w:pPr>
              <w:spacing w:before="1" w:line="257" w:lineRule="exact"/>
              <w:ind w:left="331" w:right="326"/>
              <w:jc w:val="center"/>
              <w:rPr>
                <w:rFonts w:ascii="Times New Roman" w:eastAsia="Times New Roman" w:hAnsi="Times New Roman" w:cs="Times New Roman"/>
                <w:lang w:val="uk-UA" w:eastAsia="uk"/>
              </w:rPr>
            </w:pPr>
            <w:r w:rsidRPr="00AB630E">
              <w:rPr>
                <w:rFonts w:ascii="Times New Roman" w:eastAsia="Times New Roman" w:hAnsi="Times New Roman" w:cs="Times New Roman"/>
                <w:lang w:val="uk-UA" w:eastAsia="uk"/>
              </w:rPr>
              <w:t>114</w:t>
            </w:r>
          </w:p>
        </w:tc>
      </w:tr>
      <w:tr w:rsidR="00A44027" w:rsidRPr="00AB630E" w:rsidTr="00A44027">
        <w:trPr>
          <w:trHeight w:val="568"/>
        </w:trPr>
        <w:tc>
          <w:tcPr>
            <w:tcW w:w="5364" w:type="dxa"/>
          </w:tcPr>
          <w:p w:rsidR="00A44027" w:rsidRPr="00AB630E" w:rsidRDefault="00A44027" w:rsidP="00A44027">
            <w:pPr>
              <w:spacing w:before="2" w:line="276" w:lineRule="exact"/>
              <w:ind w:left="105" w:right="160"/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Засіб </w:t>
            </w:r>
            <w:r w:rsidRPr="00AB630E">
              <w:rPr>
                <w:rFonts w:ascii="Times New Roman" w:eastAsia="Times New Roman" w:hAnsi="Times New Roman" w:cs="Times New Roman"/>
                <w:sz w:val="24"/>
                <w:lang w:val="uk-UA" w:eastAsia="uk"/>
              </w:rPr>
              <w:t>мийний</w:t>
            </w:r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r w:rsidRPr="00AB630E">
              <w:rPr>
                <w:rFonts w:ascii="Times New Roman" w:eastAsia="Times New Roman" w:hAnsi="Times New Roman" w:cs="Times New Roman"/>
                <w:sz w:val="24"/>
                <w:lang w:val="uk-UA" w:eastAsia="uk"/>
              </w:rPr>
              <w:t>дезінфекційний</w:t>
            </w:r>
            <w:r w:rsidRPr="00AB630E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 xml:space="preserve">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Термосепт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ЕндоКлінер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(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thermosept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EndoCleaner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)», 5л</w:t>
            </w:r>
            <w:r w:rsidRPr="00AB630E">
              <w:rPr>
                <w:rFonts w:ascii="Times New Roman" w:eastAsia="Times New Roman" w:hAnsi="Times New Roman" w:cs="Times New Roman"/>
                <w:lang w:val="uk" w:eastAsia="uk"/>
              </w:rPr>
              <w:t xml:space="preserve"> </w:t>
            </w:r>
            <w:r w:rsidRPr="00AB630E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у </w:t>
            </w:r>
            <w:r w:rsidRPr="00AB630E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комплекті з нейтралізатором</w:t>
            </w:r>
          </w:p>
          <w:p w:rsidR="00A44027" w:rsidRPr="00AB630E" w:rsidRDefault="00A44027" w:rsidP="00A44027">
            <w:pPr>
              <w:spacing w:before="2" w:line="276" w:lineRule="exact"/>
              <w:ind w:left="105" w:right="160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</w:p>
        </w:tc>
        <w:tc>
          <w:tcPr>
            <w:tcW w:w="1710" w:type="dxa"/>
          </w:tcPr>
          <w:p w:rsidR="00A44027" w:rsidRPr="00AB630E" w:rsidRDefault="00A44027" w:rsidP="00A44027">
            <w:pPr>
              <w:spacing w:before="140"/>
              <w:ind w:left="9"/>
              <w:jc w:val="center"/>
              <w:rPr>
                <w:rFonts w:ascii="Calibri" w:eastAsia="Times New Roman" w:hAnsi="Times New Roman" w:cs="Times New Roman"/>
                <w:lang w:val="uk" w:eastAsia="uk"/>
              </w:rPr>
            </w:pPr>
            <w:r w:rsidRPr="00AB630E">
              <w:rPr>
                <w:rFonts w:ascii="Calibri" w:eastAsia="Times New Roman" w:hAnsi="Times New Roman" w:cs="Times New Roman"/>
                <w:lang w:val="uk" w:eastAsia="uk"/>
              </w:rPr>
              <w:t>2</w:t>
            </w:r>
          </w:p>
        </w:tc>
        <w:tc>
          <w:tcPr>
            <w:tcW w:w="1710" w:type="dxa"/>
          </w:tcPr>
          <w:p w:rsidR="00A44027" w:rsidRPr="00AB630E" w:rsidRDefault="00A44027" w:rsidP="00A44027">
            <w:pPr>
              <w:spacing w:before="135"/>
              <w:ind w:left="331" w:right="326"/>
              <w:jc w:val="center"/>
              <w:rPr>
                <w:rFonts w:ascii="Times New Roman" w:eastAsia="Times New Roman" w:hAnsi="Times New Roman" w:cs="Times New Roman"/>
                <w:b/>
                <w:lang w:val="uk-UA" w:eastAsia="uk"/>
              </w:rPr>
            </w:pPr>
            <w:r w:rsidRPr="00AB630E">
              <w:rPr>
                <w:rFonts w:ascii="Times New Roman" w:eastAsia="Times New Roman" w:hAnsi="Times New Roman" w:cs="Times New Roman"/>
                <w:b/>
                <w:lang w:val="uk-UA" w:eastAsia="uk"/>
              </w:rPr>
              <w:t>комплект</w:t>
            </w:r>
          </w:p>
        </w:tc>
        <w:tc>
          <w:tcPr>
            <w:tcW w:w="1834" w:type="dxa"/>
          </w:tcPr>
          <w:p w:rsidR="00A44027" w:rsidRPr="00AB630E" w:rsidRDefault="00A44027" w:rsidP="00A44027">
            <w:pPr>
              <w:spacing w:before="135"/>
              <w:ind w:left="331" w:right="326"/>
              <w:jc w:val="center"/>
              <w:rPr>
                <w:rFonts w:ascii="Times New Roman" w:eastAsia="Times New Roman" w:hAnsi="Times New Roman" w:cs="Times New Roman"/>
                <w:lang w:val="uk-UA" w:eastAsia="uk"/>
              </w:rPr>
            </w:pPr>
            <w:r w:rsidRPr="00AB630E">
              <w:rPr>
                <w:rFonts w:ascii="Times New Roman" w:eastAsia="Times New Roman" w:hAnsi="Times New Roman" w:cs="Times New Roman"/>
                <w:lang w:val="uk-UA" w:eastAsia="uk"/>
              </w:rPr>
              <w:t>38</w:t>
            </w:r>
          </w:p>
        </w:tc>
      </w:tr>
    </w:tbl>
    <w:p w:rsidR="00AB630E" w:rsidRPr="00AB630E" w:rsidRDefault="00AB630E" w:rsidP="00AB6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30E" w:rsidRPr="00AB630E" w:rsidRDefault="00AB630E" w:rsidP="00AB6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50"/>
        <w:gridCol w:w="5812"/>
      </w:tblGrid>
      <w:tr w:rsidR="00AB630E" w:rsidRPr="00AB630E" w:rsidTr="000C7CF4">
        <w:trPr>
          <w:trHeight w:val="283"/>
        </w:trPr>
        <w:tc>
          <w:tcPr>
            <w:tcW w:w="719" w:type="dxa"/>
          </w:tcPr>
          <w:p w:rsidR="00AB630E" w:rsidRPr="00AB630E" w:rsidRDefault="00AB630E" w:rsidP="00AB630E">
            <w:pPr>
              <w:widowControl/>
              <w:autoSpaceDE/>
              <w:autoSpaceDN/>
              <w:spacing w:before="4" w:line="25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№</w:t>
            </w:r>
          </w:p>
        </w:tc>
        <w:tc>
          <w:tcPr>
            <w:tcW w:w="3250" w:type="dxa"/>
          </w:tcPr>
          <w:p w:rsidR="00AB630E" w:rsidRPr="00AB630E" w:rsidRDefault="00AB630E" w:rsidP="00AB630E">
            <w:pPr>
              <w:widowControl/>
              <w:autoSpaceDE/>
              <w:autoSpaceDN/>
              <w:spacing w:line="256" w:lineRule="exact"/>
              <w:ind w:left="19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r w:rsidRPr="00AB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Найменування товару</w:t>
            </w:r>
          </w:p>
        </w:tc>
        <w:tc>
          <w:tcPr>
            <w:tcW w:w="5812" w:type="dxa"/>
          </w:tcPr>
          <w:p w:rsidR="00AB630E" w:rsidRPr="00AB630E" w:rsidRDefault="00AB630E" w:rsidP="00AB630E">
            <w:pPr>
              <w:widowControl/>
              <w:autoSpaceDE/>
              <w:autoSpaceDN/>
              <w:spacing w:line="256" w:lineRule="exact"/>
              <w:ind w:left="534" w:right="4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uk"/>
              </w:rPr>
            </w:pPr>
            <w:proofErr w:type="spellStart"/>
            <w:r w:rsidRPr="00AB63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uk"/>
              </w:rPr>
              <w:t>Мтв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uk-UA" w:eastAsia="uk"/>
              </w:rPr>
              <w:t xml:space="preserve"> </w:t>
            </w:r>
          </w:p>
        </w:tc>
      </w:tr>
      <w:tr w:rsidR="00AB630E" w:rsidRPr="00AB630E" w:rsidTr="000C7CF4">
        <w:trPr>
          <w:trHeight w:val="285"/>
        </w:trPr>
        <w:tc>
          <w:tcPr>
            <w:tcW w:w="719" w:type="dxa"/>
          </w:tcPr>
          <w:p w:rsidR="00AB630E" w:rsidRPr="00AB630E" w:rsidRDefault="00AB630E" w:rsidP="00AB630E">
            <w:pPr>
              <w:widowControl/>
              <w:autoSpaceDE/>
              <w:autoSpaceDN/>
              <w:spacing w:before="4" w:line="254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1</w:t>
            </w:r>
          </w:p>
        </w:tc>
        <w:tc>
          <w:tcPr>
            <w:tcW w:w="3250" w:type="dxa"/>
          </w:tcPr>
          <w:p w:rsidR="00AB630E" w:rsidRPr="00AB630E" w:rsidRDefault="00AB630E" w:rsidP="00AB630E">
            <w:pPr>
              <w:widowControl/>
              <w:autoSpaceDE/>
              <w:autoSpaceDN/>
              <w:spacing w:before="1" w:line="25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Засіб мийний /</w:t>
            </w: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дезінфекційний</w:t>
            </w: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Термосепт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ЕндоКлінер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(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thermosept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EndoCleaner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)», 5л</w:t>
            </w:r>
          </w:p>
        </w:tc>
        <w:tc>
          <w:tcPr>
            <w:tcW w:w="5812" w:type="dxa"/>
          </w:tcPr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53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uk-UA"/>
              </w:rPr>
              <w:t>Потрібен рідкий лужний засіб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uk-UA"/>
              </w:rPr>
              <w:t>для застосування у спеціальних миючих машинах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метою автоматичного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передстерилізаційного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очищення та миття в закладах охорони здоров’я.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складу засобу повинні входити: протеаза до 1% (діюча речовина) , 5-15% аніонних поверхнево-активних речовин, комплекс ферментів, &lt;5%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неіоногенних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поверхнево-активних речовин, &lt;5%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полікарбоксилату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(к</w:t>
            </w:r>
            <w:r w:rsidRPr="00AB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ількість діючих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повинна бути підтверджена Висновком ДСЕЕ).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складова засобу: інгібітори корозії.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Засіб не містить силікатів, фосфатів та окиснювачів.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засобу складає &gt; 10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Засіб низько пінний, не пошкоджує об’єкти, що виготовлені із металів, скла, термолабільних та термостабільних матеріалів.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Засіб може розчиняти забруднення, що важко видаляються, у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застарілі,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прифіксовані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(прикипілі) до поверхонь матеріалів (кров, слиз, сироватка, секрети, білкові, жирові та вуглеводні виділення та забруднення,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біоплівки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хімічні речовини та реагенти, лікарські препарати, залишки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рентгенконтрастних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речовин та ін.) або які вже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підсохли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у вузьких довгих каналах.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Засіб призначений для:</w:t>
            </w:r>
          </w:p>
          <w:p w:rsidR="00AB630E" w:rsidRPr="00AB630E" w:rsidRDefault="00AB630E" w:rsidP="00AB630E">
            <w:pPr>
              <w:widowControl/>
              <w:autoSpaceDE/>
              <w:autoSpaceDN/>
              <w:ind w:lef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достерилізаційного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виробів медичного призначення із різних матеріалів: металу, скла, гуми, полімерних та інших матеріалів, включаючи стоматологічні; зонди, катетери, хірургічні, мікрохірургічні інструменти механізованим способом;</w:t>
            </w:r>
          </w:p>
          <w:p w:rsidR="00AB630E" w:rsidRPr="00AB630E" w:rsidRDefault="00AB630E" w:rsidP="00AB630E">
            <w:pPr>
              <w:widowControl/>
              <w:autoSpaceDE/>
              <w:autoSpaceDN/>
              <w:ind w:lef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очищення, у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достерилізаційного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очищення, гнучких і жорстких ендоскопів (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гастро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бронхо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цисто-, колоно-,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ректо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артро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ларинго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гістеро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лапаро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дуоденоскопів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інших) та інструментів до них;</w:t>
            </w:r>
          </w:p>
          <w:p w:rsidR="00AB630E" w:rsidRPr="00AB630E" w:rsidRDefault="00AB630E" w:rsidP="00AB630E">
            <w:pPr>
              <w:widowControl/>
              <w:autoSpaceDE/>
              <w:autoSpaceDN/>
              <w:ind w:lef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- очищення інструментів, у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ендоскопів, після обробки їх хімічними речовинами, що можуть фіксувати органічні та інші забруднення на поверхні виробів;</w:t>
            </w:r>
          </w:p>
          <w:p w:rsidR="00AB630E" w:rsidRPr="00AB630E" w:rsidRDefault="00AB630E" w:rsidP="00AB630E">
            <w:pPr>
              <w:widowControl/>
              <w:autoSpaceDE/>
              <w:autoSpaceDN/>
              <w:ind w:lef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видалення з поверхні медичних виробів, каналів, порожнин тощо забруднень, що важко видаляються (білкові та інші секрети, кров, жирові, та інші забруднення) методами автоматичного миття та очищення;</w:t>
            </w:r>
          </w:p>
          <w:p w:rsidR="00AB630E" w:rsidRPr="00AB630E" w:rsidRDefault="00AB630E" w:rsidP="00AB630E">
            <w:pPr>
              <w:widowControl/>
              <w:autoSpaceDE/>
              <w:autoSpaceDN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миття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(у т.ч.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достерилізаційного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лабораторного та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іншого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посуду,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ємностей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Засіб може застосовуватися для миття діалізаторів.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Засіб призначений для використання у автоматичних машинах типу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Belimed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BHT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Getinge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Olympus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Steelco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Steris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Wassenburg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HAMO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Gettinge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Lancer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Dekomed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ARJO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AWD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Meiko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Deko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Hospimed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MMM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Medisafe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інших мийних та мийно-дезінфікуючих машинах.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Засіб забезпечує відмінну сумісність з матеріалами, особливо з чутливими матеріалами, такими як анодований алюміній і кольорові метали.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Засіб відповідає Європейським стандартам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ISO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9001,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DIN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EN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ISO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13485,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DIN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EN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ISO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14001,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Directive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93/42/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EEC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Існує можливість економного використання засобу в залежності від ступеня забруднення (концентрацію можна змінювати: від 0,4% до 0,6%).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Засіб призначено для використання при проведенні термічної обробки інструментів (температура води від +20 ° C до +55 ° C).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5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B630E" w:rsidRPr="00AB630E" w:rsidRDefault="00AB630E" w:rsidP="00AB630E">
            <w:pPr>
              <w:widowControl/>
              <w:autoSpaceDE/>
              <w:autoSpaceDN/>
              <w:spacing w:before="1" w:line="257" w:lineRule="exact"/>
              <w:ind w:left="534" w:right="3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Засіб повинен бути внесений до Державного реєстру дезінфекційних засобі</w:t>
            </w:r>
          </w:p>
        </w:tc>
      </w:tr>
      <w:tr w:rsidR="00AB630E" w:rsidRPr="00AB630E" w:rsidTr="000C7CF4">
        <w:trPr>
          <w:trHeight w:val="568"/>
        </w:trPr>
        <w:tc>
          <w:tcPr>
            <w:tcW w:w="719" w:type="dxa"/>
          </w:tcPr>
          <w:p w:rsidR="00AB630E" w:rsidRPr="00AB630E" w:rsidRDefault="00AB630E" w:rsidP="00AB630E">
            <w:pPr>
              <w:widowControl/>
              <w:autoSpaceDE/>
              <w:autoSpaceDN/>
              <w:spacing w:before="14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lastRenderedPageBreak/>
              <w:t>2</w:t>
            </w:r>
          </w:p>
        </w:tc>
        <w:tc>
          <w:tcPr>
            <w:tcW w:w="3250" w:type="dxa"/>
          </w:tcPr>
          <w:p w:rsidR="00AB630E" w:rsidRPr="00AB630E" w:rsidRDefault="00AB630E" w:rsidP="00AB630E">
            <w:pPr>
              <w:widowControl/>
              <w:autoSpaceDE/>
              <w:autoSpaceDN/>
              <w:spacing w:before="2" w:line="276" w:lineRule="exact"/>
              <w:ind w:left="105" w:right="160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Засіб мийний </w:t>
            </w: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дезінфекційний</w:t>
            </w: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Термосепт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ЕндоКлінер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(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thermosept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EndoCleaner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)», 5л у комплекті з нейтралізатором</w:t>
            </w:r>
          </w:p>
        </w:tc>
        <w:tc>
          <w:tcPr>
            <w:tcW w:w="5812" w:type="dxa"/>
          </w:tcPr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uk-UA"/>
              </w:rPr>
              <w:t>Потрібен рідкий лужний засіб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val="uk-UA"/>
              </w:rPr>
              <w:t>для застосування у спеціальних миючих машинах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метою автоматичного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передстерилізаційного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очищення та миття в закладах охорони здоров’я.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складу засобу повинні входити: протеаза до 1% (діюча речовина) , 5-15% аніонних поверхнево-активних речовин, комплекс ферментів, &lt;5%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неіоногенних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поверхнево-активних речовин, &lt;5%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полікарбоксилату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(к</w:t>
            </w:r>
            <w:r w:rsidRPr="00AB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ількість діючих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повинна бути підтверджена Висновком ДСЕЕ).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складова засобу: інгібітори корозії.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Засіб не містить силікатів, фосфатів та окиснювачів.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засобу складає &gt; 10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Засіб низько пінний, не пошкоджує об’єкти, що виготовлені із металів, скла, термолабільних та термостабільних матеріалів.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Засіб може розчиняти забруднення, що важко видаляються, у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застарілі,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прифіксовані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(прикипілі) до поверхонь матеріалів (кров, слиз, сироватка,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секрети, білкові, жирові та вуглеводні виділення та забруднення,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біоплівки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хімічні речовини та реагенти, лікарські препарати, залишки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рентгенконтрастних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речовин та ін.) або які вже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підсохли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у вузьких довгих каналах.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Засіб призначений для:</w:t>
            </w:r>
          </w:p>
          <w:p w:rsidR="00AB630E" w:rsidRPr="00AB630E" w:rsidRDefault="00AB630E" w:rsidP="00AB630E">
            <w:pPr>
              <w:widowControl/>
              <w:autoSpaceDE/>
              <w:autoSpaceDN/>
              <w:ind w:left="174" w:firstLine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достерилізаційного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виробів медичного призначення із різних матеріалів: металу, скла, гуми, полімерних та інших матеріалів, включаючи стоматологічні; зонди, катетери, хірургічні, мікрохірургічні інструменти механізованим способом;</w:t>
            </w:r>
          </w:p>
          <w:p w:rsidR="00AB630E" w:rsidRPr="00AB630E" w:rsidRDefault="00AB630E" w:rsidP="00AB630E">
            <w:pPr>
              <w:widowControl/>
              <w:autoSpaceDE/>
              <w:autoSpaceDN/>
              <w:ind w:left="174" w:firstLine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очищення, у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достерилізаційного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очищення, гнучких і жорстких ендоскопів (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гастро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бронхо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цисто-, колоно-,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ректо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артро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ларинго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гістеро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лапаро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дуоденоскопів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інших) та інструментів до них;</w:t>
            </w:r>
          </w:p>
          <w:p w:rsidR="00AB630E" w:rsidRPr="00AB630E" w:rsidRDefault="00AB630E" w:rsidP="00AB630E">
            <w:pPr>
              <w:widowControl/>
              <w:autoSpaceDE/>
              <w:autoSpaceDN/>
              <w:ind w:left="174" w:firstLine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очищення інструментів, у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ендоскопів, після обробки їх хімічними речовинами, що можуть фіксувати органічні та інші забруднення на поверхні виробів;</w:t>
            </w:r>
          </w:p>
          <w:p w:rsidR="00AB630E" w:rsidRPr="00AB630E" w:rsidRDefault="00AB630E" w:rsidP="00AB630E">
            <w:pPr>
              <w:widowControl/>
              <w:autoSpaceDE/>
              <w:autoSpaceDN/>
              <w:ind w:left="174" w:firstLine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видалення з поверхні медичних виробів, каналів, порожнин тощо забруднень, що важко видаляються (білкові та інші секрети, кров, жирові, та інші забруднення) методами автоматичного миття та очищення;</w:t>
            </w:r>
          </w:p>
          <w:p w:rsidR="00AB630E" w:rsidRPr="00AB630E" w:rsidRDefault="00AB630E" w:rsidP="00AB630E">
            <w:pPr>
              <w:widowControl/>
              <w:autoSpaceDE/>
              <w:autoSpaceDN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миття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(у т.ч.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достерилізаційного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лабораторного та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іншого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посуду,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ємностей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Засіб може застосовуватися для миття діалізаторів.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Засіб призначений для використання у автоматичних машинах типу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Belimed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BHT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Getinge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Olympus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Steelco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Steris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Wassenburg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HAMO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Gettinge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Lancer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Dekomed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ARJO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AWD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Meiko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Deko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Hospimed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MMM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Medisafe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інших мийних та мийно-дезінфікуючих машинах.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Засіб забезпечує відмінну сумісність з матеріалами, особливо з чутливими матеріалами, такими як анодований алюміній і кольорові метали.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Засіб відповідає Європейським стандартам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ISO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9001,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DIN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EN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ISO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13485,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DIN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EN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ISO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14001, </w:t>
            </w:r>
            <w:proofErr w:type="spellStart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Directive</w:t>
            </w:r>
            <w:proofErr w:type="spellEnd"/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93/42/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EEC</w:t>
            </w: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Існує можливість економного використання засобу в залежності від ступеня забруднення (концентрацію можна змінювати: від 0,4% до 0,6%).</w:t>
            </w:r>
          </w:p>
          <w:p w:rsidR="00AB630E" w:rsidRPr="00AB630E" w:rsidRDefault="00AB630E" w:rsidP="00AB630E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174" w:firstLine="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63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Засіб призначено для використання при проведенні термічної обробки інструментів (температура води від +20 ° C до +55 ° C).</w:t>
            </w:r>
          </w:p>
          <w:p w:rsidR="00AB630E" w:rsidRPr="00AB630E" w:rsidRDefault="00AB630E" w:rsidP="00AB630E">
            <w:pPr>
              <w:widowControl/>
              <w:autoSpaceDE/>
              <w:autoSpaceDN/>
              <w:ind w:right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15. Засіб має у комплекті нейтралізатор на основі органічної кислоти (лимонна кислота) без похідних фосфору та ПАР.</w:t>
            </w:r>
          </w:p>
          <w:p w:rsidR="00AB630E" w:rsidRPr="00AB630E" w:rsidRDefault="00AB630E" w:rsidP="00AB630E">
            <w:pPr>
              <w:widowControl/>
              <w:autoSpaceDE/>
              <w:autoSpaceDN/>
              <w:spacing w:before="135"/>
              <w:ind w:left="84" w:right="3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16.     Комплект складається із каністри 5 л засобу для </w:t>
            </w:r>
            <w:proofErr w:type="spellStart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передстерилізаційного</w:t>
            </w:r>
            <w:proofErr w:type="spellEnd"/>
            <w:r w:rsidRPr="00AB6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та миття  і каністри 5 л нейтралізатора.</w:t>
            </w:r>
          </w:p>
          <w:p w:rsidR="00AB630E" w:rsidRPr="00AB630E" w:rsidRDefault="00AB630E" w:rsidP="00AB630E">
            <w:pPr>
              <w:widowControl/>
              <w:autoSpaceDE/>
              <w:autoSpaceDN/>
              <w:spacing w:before="135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"/>
              </w:rPr>
            </w:pPr>
          </w:p>
        </w:tc>
      </w:tr>
    </w:tbl>
    <w:p w:rsidR="00AB630E" w:rsidRPr="00AB630E" w:rsidRDefault="00AB630E" w:rsidP="00AB630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AB630E" w:rsidRPr="00AB630E" w:rsidRDefault="00AB630E" w:rsidP="00AB630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AB63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Якісні вимоги до предмету закупівлі:</w:t>
      </w:r>
    </w:p>
    <w:p w:rsidR="00AB630E" w:rsidRPr="00AB630E" w:rsidRDefault="00AB630E" w:rsidP="00AB630E">
      <w:pPr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bookmarkStart w:id="1" w:name="_Hlk130377540"/>
      <w:r w:rsidRPr="00AB630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Товар повинен бути новим, без зовнішніх пошкоджень, не брудний, не битий. При поставці повинна додержуватись цілісність оригінальної упаковки з необхідними реквізитами виробника та уповноваженого представника.</w:t>
      </w:r>
    </w:p>
    <w:p w:rsidR="00AB630E" w:rsidRPr="00AB630E" w:rsidRDefault="00AB630E" w:rsidP="00AB630E">
      <w:pPr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AB630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Умовою постачання товару є безкоштовна доставка на територію Замовника з перевіркою комплектності, цілісності та відсутності пошкоджень в присутності представників Замовника. </w:t>
      </w:r>
    </w:p>
    <w:bookmarkEnd w:id="1"/>
    <w:p w:rsidR="00AB630E" w:rsidRPr="00AB630E" w:rsidRDefault="00AB630E" w:rsidP="00AB630E">
      <w:pPr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AB630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З метою запобігання закупівлі фальсифікатів та отримання гарантій на своєчасне постачання товару у кількості, якості та відповідним терміном зберігання, учасник надає оригінал листа від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необхідній кількості, якості та в терміни. Гарантійний лист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України) повинен включати: повну назву учасника, мати назву предмету закупівлі, номер оголошення даних електронних торгів</w:t>
      </w:r>
    </w:p>
    <w:p w:rsidR="00AB630E" w:rsidRPr="00AB630E" w:rsidRDefault="00AB630E" w:rsidP="00AB630E">
      <w:pPr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AB630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копії чинних</w:t>
      </w:r>
      <w:bookmarkStart w:id="2" w:name="_Hlk118910878"/>
      <w:r w:rsidRPr="00AB630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інструкцій щодо застосування</w:t>
      </w:r>
      <w:bookmarkEnd w:id="2"/>
      <w:r w:rsidRPr="00AB630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. </w:t>
      </w:r>
    </w:p>
    <w:p w:rsidR="00AB630E" w:rsidRPr="00AB630E" w:rsidRDefault="00AB630E" w:rsidP="00AB630E">
      <w:pPr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AB630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копію сертифікату якості від виробника </w:t>
      </w:r>
    </w:p>
    <w:p w:rsidR="00AB630E" w:rsidRPr="00AB630E" w:rsidRDefault="00AB630E" w:rsidP="00AB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63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Якщо у вимогах до предмета закупівлі є посилання на конкретні торговельну марку чи фірму, патент або тип предмета закупівлі, джерело його походження або виробника, то такі посилання слід читати з виразом «або еквівалент». </w:t>
      </w:r>
      <w:r w:rsidRPr="00AB630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Закупівля даного виду товару обґрунтована своїми якісними та технічними характеристиками, які найбільше відповідають вимогам та потребам замовника.</w:t>
      </w:r>
    </w:p>
    <w:p w:rsidR="00AB630E" w:rsidRPr="00AB630E" w:rsidRDefault="00AB630E" w:rsidP="00AB6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2C7" w:rsidRPr="00AF57DA" w:rsidRDefault="007E22C7" w:rsidP="00AF57DA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bookmarkEnd w:id="0"/>
      <w:bookmarkEnd w:id="3"/>
    </w:p>
    <w:sectPr w:rsidR="007E22C7" w:rsidRPr="00AF57DA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3CB"/>
    <w:multiLevelType w:val="hybridMultilevel"/>
    <w:tmpl w:val="637AAAE6"/>
    <w:lvl w:ilvl="0" w:tplc="2A9E63D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18D0"/>
    <w:multiLevelType w:val="hybridMultilevel"/>
    <w:tmpl w:val="637AAAE6"/>
    <w:lvl w:ilvl="0" w:tplc="2A9E63D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77CE"/>
    <w:multiLevelType w:val="hybridMultilevel"/>
    <w:tmpl w:val="31BAF67A"/>
    <w:lvl w:ilvl="0" w:tplc="FE14F53A">
      <w:numFmt w:val="bullet"/>
      <w:lvlText w:val="-"/>
      <w:lvlJc w:val="left"/>
      <w:pPr>
        <w:ind w:left="1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4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50889"/>
    <w:rsid w:val="00077A75"/>
    <w:rsid w:val="00094BB8"/>
    <w:rsid w:val="000B2846"/>
    <w:rsid w:val="001F60C1"/>
    <w:rsid w:val="002F3BE2"/>
    <w:rsid w:val="003C2F8B"/>
    <w:rsid w:val="003E7B4C"/>
    <w:rsid w:val="004B3687"/>
    <w:rsid w:val="00567590"/>
    <w:rsid w:val="005B6C60"/>
    <w:rsid w:val="006174E1"/>
    <w:rsid w:val="00671C25"/>
    <w:rsid w:val="00693CC6"/>
    <w:rsid w:val="007E22C7"/>
    <w:rsid w:val="008D5B3D"/>
    <w:rsid w:val="00955BBA"/>
    <w:rsid w:val="009C11D0"/>
    <w:rsid w:val="009E7A4B"/>
    <w:rsid w:val="00A44027"/>
    <w:rsid w:val="00AB630E"/>
    <w:rsid w:val="00AF57DA"/>
    <w:rsid w:val="00B46D15"/>
    <w:rsid w:val="00B87AA2"/>
    <w:rsid w:val="00C10AA9"/>
    <w:rsid w:val="00C42974"/>
    <w:rsid w:val="00C84497"/>
    <w:rsid w:val="00C84674"/>
    <w:rsid w:val="00E433A0"/>
    <w:rsid w:val="00E438C1"/>
    <w:rsid w:val="00F12943"/>
    <w:rsid w:val="00F307FD"/>
    <w:rsid w:val="00F33D43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6644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34"/>
    <w:qFormat/>
    <w:rsid w:val="00E438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E438C1"/>
    <w:rPr>
      <w:rFonts w:ascii="Calibri" w:eastAsia="Calibri" w:hAnsi="Calibri" w:cs="Times New Roman"/>
      <w:lang w:val="ru-RU"/>
    </w:rPr>
  </w:style>
  <w:style w:type="paragraph" w:styleId="a6">
    <w:name w:val="No Spacing"/>
    <w:aliases w:val="ТNR AMPU"/>
    <w:link w:val="a7"/>
    <w:uiPriority w:val="1"/>
    <w:qFormat/>
    <w:rsid w:val="00077A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інтервалів Знак"/>
    <w:aliases w:val="ТNR AMPU Знак"/>
    <w:link w:val="a6"/>
    <w:uiPriority w:val="1"/>
    <w:qFormat/>
    <w:locked/>
    <w:rsid w:val="00077A75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F57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7DA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val="uk" w:eastAsia="uk"/>
    </w:rPr>
  </w:style>
  <w:style w:type="table" w:customStyle="1" w:styleId="TableNormal1">
    <w:name w:val="Table Normal1"/>
    <w:uiPriority w:val="2"/>
    <w:semiHidden/>
    <w:unhideWhenUsed/>
    <w:qFormat/>
    <w:rsid w:val="00AB6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5217</Words>
  <Characters>2975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21</cp:revision>
  <cp:lastPrinted>2023-03-06T13:58:00Z</cp:lastPrinted>
  <dcterms:created xsi:type="dcterms:W3CDTF">2023-03-29T08:16:00Z</dcterms:created>
  <dcterms:modified xsi:type="dcterms:W3CDTF">2023-05-01T12:20:00Z</dcterms:modified>
</cp:coreProperties>
</file>