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4B" w:rsidRPr="00F35C48" w:rsidRDefault="00E433A0" w:rsidP="00F35C48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tbl>
      <w:tblPr>
        <w:tblW w:w="102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0178"/>
        <w:gridCol w:w="28"/>
      </w:tblGrid>
      <w:tr w:rsidR="003B2C13" w:rsidRPr="003B2C13" w:rsidTr="00971E4E">
        <w:trPr>
          <w:gridBefore w:val="1"/>
          <w:wBefore w:w="28" w:type="dxa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13" w:rsidRPr="003B2C13" w:rsidRDefault="003B2C13" w:rsidP="003B2C1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</w:p>
          <w:p w:rsidR="003B2C13" w:rsidRPr="003B2C13" w:rsidRDefault="003B2C13" w:rsidP="003B2C13">
            <w:pPr>
              <w:spacing w:after="0" w:line="240" w:lineRule="auto"/>
              <w:ind w:left="76" w:firstLine="69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ru-RU" w:eastAsia="ru-RU"/>
                <w14:ligatures w14:val="standardContextual"/>
              </w:rPr>
            </w:pPr>
            <w:r w:rsidRPr="003B2C1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val="ru-RU" w:eastAsia="ru-RU"/>
                <w14:ligatures w14:val="standardContextual"/>
              </w:rPr>
              <w:t>ТЕХНІЧНІ ВИМОГИ на закупівлю по предмету</w:t>
            </w:r>
          </w:p>
          <w:p w:rsidR="003B2C13" w:rsidRPr="003B2C13" w:rsidRDefault="003B2C13" w:rsidP="003B2C13">
            <w:pPr>
              <w:autoSpaceDE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C1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B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Аварійний (поточний) ремонт вхідної групи та сходової клітини будівлі № 16 лабораторного корпусу (лабораторний корпус – 1Г) Національної дитячої спеціалізованої лікарні «Охматдит» МОЗ України за адресою: м. Київ, вул. Чорновола 28/1» (код ДК 021:2015 – 45450000-6 – Інші завершальні будівельні роботи)</w:t>
            </w:r>
          </w:p>
          <w:p w:rsidR="003B2C13" w:rsidRPr="003B2C13" w:rsidRDefault="003B2C13" w:rsidP="003B2C13">
            <w:pPr>
              <w:autoSpaceDE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C13" w:rsidRPr="003B2C13" w:rsidRDefault="003B2C13" w:rsidP="003B2C13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3B2C1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14:ligatures w14:val="standardContextual"/>
              </w:rPr>
              <w:t>Місце надання послуг</w:t>
            </w:r>
            <w:r w:rsidRPr="003B2C1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: м. Київ, вул.В.Чорновола 28 /1 НДСЛ "Охматдит" МОЗ України;</w:t>
            </w:r>
          </w:p>
          <w:p w:rsidR="003B2C13" w:rsidRPr="003B2C13" w:rsidRDefault="003B2C13" w:rsidP="003B2C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</w:p>
          <w:p w:rsidR="003B2C13" w:rsidRPr="003B2C13" w:rsidRDefault="003B2C13" w:rsidP="003B2C1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 w:rsidRPr="003B2C13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Об'єми робіт</w:t>
            </w:r>
          </w:p>
          <w:p w:rsidR="003B2C13" w:rsidRPr="003B2C13" w:rsidRDefault="003B2C13" w:rsidP="003B2C1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Hlk135230235"/>
          </w:p>
        </w:tc>
      </w:tr>
      <w:bookmarkEnd w:id="0"/>
      <w:tr w:rsidR="003B2C13" w:rsidRPr="003B2C13" w:rsidTr="00971E4E">
        <w:trPr>
          <w:gridAfter w:val="1"/>
          <w:wAfter w:w="28" w:type="dxa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13" w:rsidRPr="003B2C13" w:rsidRDefault="003B2C13" w:rsidP="003B2C1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14:ligatures w14:val="standardContextual"/>
              </w:rPr>
            </w:pPr>
          </w:p>
          <w:p w:rsidR="003B2C13" w:rsidRPr="003B2C13" w:rsidRDefault="003B2C13" w:rsidP="003B2C13">
            <w:pPr>
              <w:keepLines/>
              <w:autoSpaceDE w:val="0"/>
              <w:autoSpaceDN w:val="0"/>
              <w:spacing w:after="0" w:line="240" w:lineRule="auto"/>
              <w:ind w:left="76" w:firstLine="6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14:ligatures w14:val="standardContextual"/>
              </w:rPr>
            </w:pPr>
          </w:p>
          <w:tbl>
            <w:tblPr>
              <w:tblW w:w="10175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5575"/>
              <w:gridCol w:w="697"/>
              <w:gridCol w:w="1275"/>
              <w:gridCol w:w="1985"/>
            </w:tblGrid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№ п/п</w:t>
                  </w:r>
                </w:p>
              </w:tc>
              <w:tc>
                <w:tcPr>
                  <w:tcW w:w="5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Найменування робіт та витрат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Од. вим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Кількість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Примітка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ВІКНА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 xml:space="preserve">Демонтаж дерев'яних віконних коробок 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2580х540мм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Демонтаж оцинкованих відливів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Монтаж металопластикових двокамерних енергозберігаючих вікон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додаток 5, розмір уточнити при замірі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Монтаж відливів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розмір уточнити при замірі </w:t>
                  </w:r>
                </w:p>
              </w:tc>
            </w:tr>
            <w:tr w:rsidR="003B2C13" w:rsidRPr="003B2C13" w:rsidTr="00971E4E">
              <w:trPr>
                <w:trHeight w:val="93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Герметизація швів примикань вікон до зовнішніх віконних відкосів за допомогою монтажної піни та акрилатного герметика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зовнішні відкоси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ВІКОННІ ВІДКОСИ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відкосів бетонконтактом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9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Утеплення відкосів  мінеральною ватою товщиною 20 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ширина 100мм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10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Поклейка сітки малярної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11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Штукатурка  по сітці (Старт) товщиною 25мм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гіпсова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відкосів під шпаклювання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13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Монтаж перфорованих кутиків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14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Шпаклювання відкосів (Фініш) за 2 рази товщиною 1мм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гіпсова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відкосів під фарбування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16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Фарбування відкосів водоемульсійною фарбою за 2 рази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стійка до миття 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17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СТІНИ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18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Розшивка тріщин по стінам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19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Заповнення тріщин по стінам акриловим герметиком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lastRenderedPageBreak/>
                    <w:t>20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Поклейка серпянки для армування тріщин по стінам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21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Локальний демонтаж штукатурки в місцях отворів, сколів по стінам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22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 xml:space="preserve">Ґрунтування під локальну штукатурку 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23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 xml:space="preserve">Локальна штукатурка (Старт) отворів, сколів по стінам 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гіпсова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24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під локальну шпаклівку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25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 xml:space="preserve">Локальна шпаклівка (Фініш) отворів, сколів по стінам 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гіпсова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26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Демонтаж штукатурки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27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стін бетонконтактом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28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Штукатурка стін (Старт) товщиною 25мм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гіпсова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29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стін під шпаклівку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30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Шпаклювання стін (Фініш) за 2 раз товщиною 1мм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гіпсова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31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 xml:space="preserve">Ґрунтування стін під фарбування 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32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Фарбування стін у два шари водоемульсійною фарбою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стійка до миття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33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СТЕЛЯ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34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Розшивка тріщин по стелям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35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Заповнення тріщин по стелям акриловим герметиком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36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Поклейка серпянки для армування тріщин по стелі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37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стелі бетонконтактом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38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Штукатурка стелі (Старт) товщиною 25мм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39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стелі під шпаклювання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40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Шпаклювання стелі (Фініш) за 2 рази товщиною 1мм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41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стелі під фарбування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42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Фарбування стелі у два шари водоемульсійною фарбою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43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ДВЕРНІ ВІДКОСИ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44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дверних відкосів під штукатурку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45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Монтаж перфорованих кутиків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46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Штукатурка відкосів (Старт) товщиною 25мм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47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дверних відкосів під шпаклювання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48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Шпаклювання відкосів (Фініш) за 2 рази товщиною 1 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lastRenderedPageBreak/>
                    <w:t>49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ВЛАШТУВАННЯ ФАЛЬШ-ЛИШТВИ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50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Накладка з   2-х листів гіпсокартону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ширина 100мм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51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Поклейка сітки малярної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52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Штукатурка  по сітці (Старт) товщиною 25мм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гіпсова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53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відкосів під шпаклювання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54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Монтаж перфорованих кутиків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п.м.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55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Шпаклювання відкосів (Фініш) за 2 рази товщиною 1 мм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0,5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гіпсова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56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відкосів під фарбування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57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Фарбування відкосів водоемульсійною фарбою за 2 рази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стійка до миття 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58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МЕТАЛЕВІ ВИРОБИ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435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59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Очищення металевих дверей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60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металевих дверей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по металу без запаху</w:t>
                  </w: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61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Фарбування металевих дверей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по металу без запаху</w:t>
                  </w:r>
                </w:p>
              </w:tc>
            </w:tr>
            <w:tr w:rsidR="003B2C13" w:rsidRPr="003B2C13" w:rsidTr="00971E4E">
              <w:trPr>
                <w:trHeight w:val="409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62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Очищення труб радіаторів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63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труб радіаторів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по металу без запаху</w:t>
                  </w: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64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Фарбування труб радіаторів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по металу без запаху</w:t>
                  </w:r>
                </w:p>
              </w:tc>
            </w:tr>
            <w:tr w:rsidR="003B2C13" w:rsidRPr="003B2C13" w:rsidTr="00971E4E">
              <w:trPr>
                <w:trHeight w:val="348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65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Очищення радіаторів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66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 xml:space="preserve">Ґрунтування радіаторів 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по металу без запаху</w:t>
                  </w: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67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Фарбування радіаторів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по металу без запаху</w:t>
                  </w:r>
                </w:p>
              </w:tc>
            </w:tr>
            <w:tr w:rsidR="003B2C13" w:rsidRPr="003B2C13" w:rsidTr="00971E4E">
              <w:trPr>
                <w:trHeight w:val="335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68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Очищення огорожі перил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69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Ґрунтування огорожі перил (з двох сторін)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по металу без запаху</w:t>
                  </w: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70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Фарбування огорожі перил (з двох сторін)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по металу без запаху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71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 xml:space="preserve">Очистка перил 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72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Шпаклівка стиків перил та частин дерев'яних дверей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шпаклівка по дереву</w:t>
                  </w:r>
                </w:p>
              </w:tc>
            </w:tr>
            <w:tr w:rsidR="003B2C13" w:rsidRPr="003B2C13" w:rsidTr="00971E4E">
              <w:trPr>
                <w:trHeight w:val="62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73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 xml:space="preserve">Лакування перил 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2,5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лак по дереву без запаху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74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"/>
                      <w14:ligatures w14:val="standardContextual"/>
                    </w:rPr>
                    <w:t>ПІДЛОГА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93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lastRenderedPageBreak/>
                    <w:t>75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Фарбування бетонних сходів, сходових площадок та плінтуса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фарба для підлог різного кольору, без запаху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76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  <w:r w:rsidRPr="003B2C1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14:ligatures w14:val="standardContextual"/>
                    </w:rPr>
                    <w:t>СВІТИЛЬНИКИ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77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Демонтаж світильників на стелі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78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Демонтаж світильників на стіні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79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Монтаж світильників на стелі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80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Монтаж світильників на стіні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81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14:ligatures w14:val="standardContextual"/>
                    </w:rPr>
                    <w:t>ВЕНТИЛЯЦІЙНІ РЕШІТКИ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82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Демонтаж вентиляційної решітки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250х350мм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83</w:t>
                  </w: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Монтаж вентиляційної решітки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250х350мм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5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84</w:t>
                  </w:r>
                </w:p>
              </w:tc>
              <w:tc>
                <w:tcPr>
                  <w:tcW w:w="5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Резинові накладки на сходи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Довжина 1400мм</w:t>
                  </w: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5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  <w:tr w:rsidR="003B2C13" w:rsidRPr="003B2C13" w:rsidTr="00971E4E">
              <w:trPr>
                <w:trHeight w:val="310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85</w:t>
                  </w:r>
                </w:p>
              </w:tc>
              <w:tc>
                <w:tcPr>
                  <w:tcW w:w="5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Вивіз сміття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  <w:r w:rsidRPr="003B2C13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B2C13" w:rsidRPr="003B2C13" w:rsidRDefault="003B2C13" w:rsidP="003B2C13">
                  <w:pPr>
                    <w:spacing w:after="0" w:line="240" w:lineRule="auto"/>
                    <w:ind w:left="76" w:firstLine="69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14:ligatures w14:val="standardContextual"/>
                    </w:rPr>
                  </w:pPr>
                </w:p>
              </w:tc>
            </w:tr>
          </w:tbl>
          <w:p w:rsidR="003B2C13" w:rsidRPr="003B2C13" w:rsidRDefault="003B2C13" w:rsidP="003B2C13">
            <w:pPr>
              <w:keepLines/>
              <w:autoSpaceDE w:val="0"/>
              <w:autoSpaceDN w:val="0"/>
              <w:spacing w:after="0" w:line="240" w:lineRule="auto"/>
              <w:ind w:left="76" w:firstLine="6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14:ligatures w14:val="standardContextual"/>
              </w:rPr>
            </w:pPr>
          </w:p>
        </w:tc>
      </w:tr>
    </w:tbl>
    <w:p w:rsidR="003B2C13" w:rsidRPr="003B2C13" w:rsidRDefault="003B2C13" w:rsidP="003B2C13">
      <w:pPr>
        <w:spacing w:after="13" w:line="249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14:ligatures w14:val="standardContextual"/>
        </w:rPr>
      </w:pPr>
    </w:p>
    <w:p w:rsidR="003B2C13" w:rsidRPr="003B2C13" w:rsidRDefault="003B2C13" w:rsidP="003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5" w:line="242" w:lineRule="auto"/>
        <w:ind w:left="76" w:firstLine="699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26"/>
          <w:szCs w:val="26"/>
          <w:lang w:val="en-US" w:eastAsia="ar-SA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ar-SA"/>
          <w14:ligatures w14:val="standardContextual"/>
        </w:rPr>
        <w:t xml:space="preserve">   </w:t>
      </w:r>
      <w:r w:rsidRPr="003B2C13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val="en-US" w:eastAsia="ar-SA"/>
          <w14:ligatures w14:val="standardContextual"/>
        </w:rPr>
        <w:t>Інші вимоги</w:t>
      </w:r>
      <w:r w:rsidRPr="003B2C13">
        <w:rPr>
          <w:rFonts w:ascii="Times New Roman" w:eastAsia="Times New Roman" w:hAnsi="Times New Roman" w:cs="Times New Roman"/>
          <w:b/>
          <w:i/>
          <w:color w:val="000000"/>
          <w:kern w:val="2"/>
          <w:sz w:val="26"/>
          <w:szCs w:val="26"/>
          <w:lang w:val="en-US" w:eastAsia="ar-SA"/>
          <w14:ligatures w14:val="standardContextual"/>
        </w:rPr>
        <w:t>: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en-US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en-US"/>
          <w14:ligatures w14:val="standardContextual"/>
        </w:rPr>
        <w:t>1. Підрядник виконує усі види робіт згідно технічного завдання та відповідно до вимог Кошторисних норм України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«Про затвердження кошторисних норм України у будівництві» від 01.11.2021р. № 281 з наданням експертного звіту.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2. Технологія та якість виконуваних робіт, якість застосованих матеріалів повинні відповідати вимогам  діючих  державних стандартів, будівельних, протипожежних та санітарних норм і правил встановлених для даних видів робіт.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3. Використовувані матеріали і обладнання повинні відповідати кошторисній документації, державним стандартам і технічним умовам.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4. Замовник протягом проведення поточного ремонту проводить технічний нагляд з метою дотримання норм ДСТУ ( ДБН ).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6. На підставі ДБН А.3.1-5:2016 підрядник повинен пред’являти замовнику приховані роботи з оформленням відповідного акту. В протилежному випадку зазначені роботи до оплати прийматися не будуть.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7. Учасник визначає ціни (із змінами та доповненнями), з урахуванням всіх видів та обсягів робіт, що повинні бути виконані. Ціна пропозиції повинна включати всі  витрати Учасника, зокрема сплату податків і зборів, що сплачуються або мають бути сплачені, вартість матеріалів, страхування, вартість експертизи проектно-кошторисної документації (у разі необхідності), інші витрати.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8. 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9. Технологія та якість виконаних робіт, якісь застосованих матеріалів повинні відповідати вимогам діючих державних стандартів і правил, будівельних, протипожежних і санітарних норм встановлених для даних видів робіт.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lastRenderedPageBreak/>
        <w:t>10. Копія відповідної діючої Ліцензії (з додатками) Учасника у разі якщо предмет закупівлі передбачає провадження господарської діяльності, що підлягає ліцензуванню відповідно до вимог чинного законодавства України.</w:t>
      </w:r>
    </w:p>
    <w:p w:rsidR="003B2C13" w:rsidRPr="003B2C13" w:rsidRDefault="003B2C13" w:rsidP="003B2C13">
      <w:pPr>
        <w:spacing w:after="25" w:line="242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11. Скан-копія оригіналу дозволу(ів) органів Держпраці на виконання робіт підвищеної небезпеки на проведення робіт зазначених в технічному завданні та /або  скан-копія оригіналу декларації відповідності матеріально-технічної бази роботодавця вимогам законодавства з питань охорони праці на проведення робіт зазначених в технічному завданні.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 xml:space="preserve">12. Розрахункові кошторисні документи відповідно до заявленого технічного завдання. 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 xml:space="preserve">Кошторисна документація має бути розроблена в програмному комплексі АВК-5 (або аналог) версія 3.8.1 (не нижче) та додатково у форматі </w:t>
      </w: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en-US"/>
          <w14:ligatures w14:val="standardContextual"/>
        </w:rPr>
        <w:t>word</w:t>
      </w: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, скріплена печаткою та підписана Учасником, а також підписом та печаткою сертифікованого інженера-проектувальника)  у складі: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-</w:t>
      </w: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ab/>
        <w:t>договірної ціни, що визначається з урахуванням проходження експертизи кошторисної документації;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-</w:t>
      </w: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ab/>
        <w:t>зведеного кошторисного розрахунку вартості робіт з пояснювальною запискою із урахуванням глави 10 утримання служби замовника (включити витрати на здійснення технічного нагляду  1,5% ) ;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-</w:t>
      </w: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ab/>
        <w:t>локальних кошторисів;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-</w:t>
      </w: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ab/>
        <w:t>відомість ресурсів до локального кошторисного розрахунку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-</w:t>
      </w: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ab/>
        <w:t>розрахунок загальновиробничих витрат.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Учасник визначає вартість послуг, виходячи з обсягів на підставі нормативної потреби в трудових та матеріально-технічних ресурсах, необхідних для виконання послуг, що є предметом закупівлі з урахуванням поточних цін на них.</w:t>
      </w:r>
    </w:p>
    <w:p w:rsidR="003B2C13" w:rsidRPr="003B2C13" w:rsidRDefault="003B2C13" w:rsidP="003B2C13">
      <w:pPr>
        <w:spacing w:after="25" w:line="242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 xml:space="preserve">              13. На підтвердження наявності сертифікованого програмного забезпечення в учасника, учасник має надати ліцензію на програмний комплекс в якому здійснено відповідні розрахунки виконання робіт та договір  на підтвердження права користування даним комплексом.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14. Замовник делегує Учаснику права Замовника в частині замовлення та оплати експертизи проектної/кошторисної документації. Експертиза проектів будівництва проводиться в установленому Кабінетом Міністрів України порядку експертними організаціями незалежно від форми власності, які відповідають критеріям, визначеним центральним органом виконавчої влади (Наказ Міністерства регіонального розвитку, будівництва та житлово-комунального господарства України від 15.08.2017 № 204), що забезпечує формування та реалізує державну політику у сфері будівництва, архітектури, містобудування, відомості про які внесені таким органом або на підставі делегованих повноважень саморегулівною організацією у сфері архітектурної діяльності за відповідним напрямом підприємницької діяльності (у разі її утворення) до переліку експертних організацій.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Експертиза кошторисної документація (кошторисна частина проектної документації) проводиться у будь якому випадку не залежно від кошторисної вартості.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Надати лист-гарантію у довільній формі, що Учасник зобов’язується пройти експертизу проектної/кошторисної документації.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 xml:space="preserve">15. Для підтвердження відповідності матеріалів державним стандартам, надати відповідні сертифікати відповідності (протоколи випробувань). 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16. Організація робіт здійснюється відповідно до вимог ДБН А.3.1-5:2016.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17. Створення безбар’єрного простору для людей з інвалідністю та інших маломобільних груп виконати згідно ДБН В.2.2-40:2018 «Інклюзивність будівель і споруд».</w:t>
      </w:r>
    </w:p>
    <w:p w:rsidR="003B2C13" w:rsidRPr="003B2C13" w:rsidRDefault="003B2C13" w:rsidP="003B2C13">
      <w:pPr>
        <w:spacing w:after="25" w:line="242" w:lineRule="auto"/>
        <w:ind w:left="76"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 xml:space="preserve">18. Відповідно до наказу Мінрегіону України від 20.10.2016 № 281 «Про затвердження Порядку розрахунку розміру кошторисної заробітної плати, який враховується при визначенні вартості будівництва об'єктів» (зареєстровано в Мін'юсті 11 листопада 2016 року № 1469/29599): «4. Розмір кошторисної заробітної плати, який враховується при складанні інвесторської кошторисної документації (на стадії розроблення проектної документації), визначається замовником (інвестором) у складі вихідних даних на проектування для звичайних умов будівництва за розрядом складності робіт 3,8, але не нижче ніж середньомісячна заробітна плата у будівництві (у розрахунку на одного штатного працівника) за 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року), який є складовою основних прогнозних макропоказників </w:t>
      </w: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lastRenderedPageBreak/>
        <w:t xml:space="preserve">економічного і соціального розвитку України, що схвалюються Кабінетом Міністрів України.». Визначити розмір кошторисної заробітної плати, що враховується при визначенні вартості будівництва, у розмірі </w:t>
      </w:r>
      <w:r w:rsidRPr="003B2C13">
        <w:rPr>
          <w:rFonts w:ascii="Times New Roman" w:eastAsia="Times New Roman" w:hAnsi="Times New Roman" w:cs="Times New Roman"/>
          <w:bCs/>
          <w:color w:val="000000"/>
          <w:kern w:val="2"/>
          <w:sz w:val="24"/>
          <w:lang w:val="ru-RU"/>
          <w14:ligatures w14:val="standardContextual"/>
        </w:rPr>
        <w:t>18</w:t>
      </w:r>
      <w:r w:rsidRPr="003B2C13">
        <w:rPr>
          <w:rFonts w:ascii="Times New Roman" w:eastAsia="Times New Roman" w:hAnsi="Times New Roman" w:cs="Times New Roman"/>
          <w:bCs/>
          <w:color w:val="000000"/>
          <w:kern w:val="2"/>
          <w:sz w:val="24"/>
          <w:lang w:val="en-US"/>
          <w14:ligatures w14:val="standardContextual"/>
        </w:rPr>
        <w:t> </w:t>
      </w:r>
      <w:r w:rsidRPr="003B2C13">
        <w:rPr>
          <w:rFonts w:ascii="Times New Roman" w:eastAsia="Times New Roman" w:hAnsi="Times New Roman" w:cs="Times New Roman"/>
          <w:bCs/>
          <w:color w:val="000000"/>
          <w:kern w:val="2"/>
          <w:sz w:val="24"/>
          <w:lang w:val="ru-RU"/>
          <w14:ligatures w14:val="standardContextual"/>
        </w:rPr>
        <w:t>000,00 гривень</w:t>
      </w:r>
      <w:r w:rsidRPr="003B2C13">
        <w:rPr>
          <w:rFonts w:ascii="Times New Roman" w:eastAsia="Times New Roman" w:hAnsi="Times New Roman" w:cs="Times New Roman"/>
          <w:color w:val="000000"/>
          <w:kern w:val="2"/>
          <w:sz w:val="24"/>
          <w:lang w:val="ru-RU"/>
          <w14:ligatures w14:val="standardContextual"/>
        </w:rPr>
        <w:t>, що відповідає середньому розряду складності робіт у будівництві 3,8 при виконанні робіт у звичайних умовах.</w:t>
      </w:r>
    </w:p>
    <w:p w:rsidR="003B2C13" w:rsidRPr="003B2C13" w:rsidRDefault="003B2C13" w:rsidP="003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5" w:line="242" w:lineRule="auto"/>
        <w:ind w:left="76" w:firstLine="69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4"/>
          <w:lang w:val="x-none" w:eastAsia="ar-SA"/>
          <w14:ligatures w14:val="standardContextual"/>
        </w:rPr>
      </w:pPr>
    </w:p>
    <w:p w:rsidR="003B2C13" w:rsidRPr="003B2C13" w:rsidRDefault="003B2C13" w:rsidP="003B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5" w:line="242" w:lineRule="auto"/>
        <w:ind w:left="76" w:firstLine="69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4"/>
          <w:lang w:val="x-none" w:eastAsia="ar-SA"/>
          <w14:ligatures w14:val="standardContextual"/>
        </w:rPr>
      </w:pPr>
      <w:r w:rsidRPr="003B2C13">
        <w:rPr>
          <w:rFonts w:ascii="Times New Roman" w:eastAsia="Times New Roman" w:hAnsi="Times New Roman" w:cs="Times New Roman"/>
          <w:i/>
          <w:color w:val="000000"/>
          <w:kern w:val="2"/>
          <w:sz w:val="24"/>
          <w:lang w:val="x-none" w:eastAsia="ar-SA"/>
          <w14:ligatures w14:val="standardContextual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B2C13" w:rsidRPr="003B2C13" w:rsidRDefault="003B2C13" w:rsidP="003B2C1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x-none"/>
          <w14:ligatures w14:val="standardContextual"/>
        </w:rPr>
      </w:pPr>
    </w:p>
    <w:p w:rsidR="0030215D" w:rsidRPr="003B2C13" w:rsidRDefault="0030215D" w:rsidP="00326E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bookmarkStart w:id="1" w:name="_GoBack"/>
      <w:bookmarkEnd w:id="1"/>
    </w:p>
    <w:sectPr w:rsidR="0030215D" w:rsidRPr="003B2C13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DB3743"/>
    <w:multiLevelType w:val="hybridMultilevel"/>
    <w:tmpl w:val="7C3A4618"/>
    <w:lvl w:ilvl="0" w:tplc="5B703AA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AC1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70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B7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96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C48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37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EC6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EB4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07323"/>
    <w:rsid w:val="00050889"/>
    <w:rsid w:val="000D6031"/>
    <w:rsid w:val="000F76D9"/>
    <w:rsid w:val="00166458"/>
    <w:rsid w:val="00277063"/>
    <w:rsid w:val="002A6E69"/>
    <w:rsid w:val="002D6299"/>
    <w:rsid w:val="0030215D"/>
    <w:rsid w:val="00323869"/>
    <w:rsid w:val="00326E39"/>
    <w:rsid w:val="003B2C13"/>
    <w:rsid w:val="003C2F8B"/>
    <w:rsid w:val="004644D7"/>
    <w:rsid w:val="004D209D"/>
    <w:rsid w:val="004F43B8"/>
    <w:rsid w:val="00537657"/>
    <w:rsid w:val="0058082F"/>
    <w:rsid w:val="00654518"/>
    <w:rsid w:val="006F6B0A"/>
    <w:rsid w:val="00707239"/>
    <w:rsid w:val="00801C34"/>
    <w:rsid w:val="008A4E54"/>
    <w:rsid w:val="00955BBA"/>
    <w:rsid w:val="009C11D0"/>
    <w:rsid w:val="009E7A4B"/>
    <w:rsid w:val="009F5884"/>
    <w:rsid w:val="00A943F7"/>
    <w:rsid w:val="00AE6F87"/>
    <w:rsid w:val="00AF4AD9"/>
    <w:rsid w:val="00AF610E"/>
    <w:rsid w:val="00D105A4"/>
    <w:rsid w:val="00E433A0"/>
    <w:rsid w:val="00E7256C"/>
    <w:rsid w:val="00F307FD"/>
    <w:rsid w:val="00F35C48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3030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4E54"/>
    <w:pPr>
      <w:keepNext/>
      <w:keepLines/>
      <w:spacing w:before="40" w:after="0" w:line="242" w:lineRule="auto"/>
      <w:ind w:left="76" w:firstLine="699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326E39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326E39"/>
  </w:style>
  <w:style w:type="character" w:customStyle="1" w:styleId="20">
    <w:name w:val="Заголовок 2 Знак"/>
    <w:basedOn w:val="a0"/>
    <w:link w:val="2"/>
    <w:uiPriority w:val="9"/>
    <w:rsid w:val="008A4E5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table" w:customStyle="1" w:styleId="TableGrid">
    <w:name w:val="TableGrid"/>
    <w:rsid w:val="008A4E54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E54"/>
    <w:pPr>
      <w:spacing w:after="0" w:line="240" w:lineRule="auto"/>
      <w:ind w:left="76" w:firstLine="699"/>
      <w:jc w:val="both"/>
    </w:pPr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4E54"/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7546</Words>
  <Characters>4302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27</cp:revision>
  <cp:lastPrinted>2023-03-06T13:58:00Z</cp:lastPrinted>
  <dcterms:created xsi:type="dcterms:W3CDTF">2023-03-29T12:16:00Z</dcterms:created>
  <dcterms:modified xsi:type="dcterms:W3CDTF">2023-11-13T12:44:00Z</dcterms:modified>
</cp:coreProperties>
</file>