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49" w:rsidRPr="00332749" w:rsidRDefault="00332749" w:rsidP="0033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ОБГРУНТУВАННЯ</w:t>
      </w:r>
    </w:p>
    <w:p w:rsidR="00332749" w:rsidRPr="00332749" w:rsidRDefault="00332749" w:rsidP="003327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МЕДИКО-ТЕХНІЧНІ ВИМОГИ </w:t>
      </w:r>
    </w:p>
    <w:p w:rsidR="00332749" w:rsidRPr="00332749" w:rsidRDefault="00332749" w:rsidP="00332749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 по предмету</w:t>
      </w:r>
    </w:p>
    <w:p w:rsidR="00332749" w:rsidRPr="00332749" w:rsidRDefault="00332749" w:rsidP="00332749">
      <w:pPr>
        <w:widowControl w:val="0"/>
        <w:suppressAutoHyphens/>
        <w:overflowPunct w:val="0"/>
        <w:spacing w:after="0" w:line="256" w:lineRule="auto"/>
        <w:jc w:val="center"/>
        <w:rPr>
          <w:rFonts w:ascii="Times New Roman" w:eastAsia="Tahoma" w:hAnsi="Times New Roman" w:cs="Times New Roman"/>
          <w:b/>
          <w:bCs/>
          <w:color w:val="000000"/>
          <w:kern w:val="2"/>
          <w:lang w:val="uk-UA" w:eastAsia="zh-CN"/>
        </w:rPr>
      </w:pPr>
      <w:r w:rsidRPr="00332749">
        <w:rPr>
          <w:rFonts w:ascii="Times New Roman" w:eastAsia="Tahoma" w:hAnsi="Times New Roman" w:cs="Times New Roman"/>
          <w:b/>
          <w:bCs/>
          <w:color w:val="00000A"/>
          <w:kern w:val="2"/>
          <w:sz w:val="24"/>
          <w:szCs w:val="24"/>
          <w:lang w:val="uk-UA" w:eastAsia="zh-CN"/>
        </w:rPr>
        <w:t>код ДК 021:2015 – 33690000-3 лікарські засоби різні</w:t>
      </w:r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- Реагенти для Українського </w:t>
      </w:r>
      <w:proofErr w:type="spellStart"/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>Референс</w:t>
      </w:r>
      <w:proofErr w:type="spellEnd"/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-центру з клінічної лабораторної діагностики та метрології в 2024 році: </w:t>
      </w:r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lang w:val="uk-UA" w:eastAsia="zh-CN"/>
        </w:rPr>
        <w:t xml:space="preserve">Лот 1 -  Реагенти для електрофорезу в </w:t>
      </w:r>
      <w:proofErr w:type="spellStart"/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lang w:val="uk-UA" w:eastAsia="zh-CN"/>
        </w:rPr>
        <w:t>агарозному</w:t>
      </w:r>
      <w:proofErr w:type="spellEnd"/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lang w:val="uk-UA" w:eastAsia="zh-CN"/>
        </w:rPr>
        <w:t xml:space="preserve"> гелі </w:t>
      </w:r>
      <w:proofErr w:type="spellStart"/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lang w:val="uk-UA" w:eastAsia="zh-CN"/>
        </w:rPr>
        <w:t>Hydrasys</w:t>
      </w:r>
      <w:proofErr w:type="spellEnd"/>
      <w:r w:rsidRPr="00332749">
        <w:rPr>
          <w:rFonts w:ascii="Times New Roman" w:eastAsia="Tahoma" w:hAnsi="Times New Roman" w:cs="Times New Roman"/>
          <w:b/>
          <w:bCs/>
          <w:color w:val="000000"/>
          <w:kern w:val="2"/>
          <w:lang w:val="uk-UA" w:eastAsia="zh-CN"/>
        </w:rPr>
        <w:t>; Лот 2- латексні системи:</w:t>
      </w:r>
    </w:p>
    <w:p w:rsidR="00332749" w:rsidRPr="00332749" w:rsidRDefault="00332749" w:rsidP="00332749">
      <w:pPr>
        <w:widowControl w:val="0"/>
        <w:suppressAutoHyphens/>
        <w:overflowPunct w:val="0"/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5"/>
          <w:szCs w:val="25"/>
          <w:lang w:val="uk-UA" w:eastAsia="uk-UA"/>
        </w:rPr>
      </w:pPr>
    </w:p>
    <w:tbl>
      <w:tblPr>
        <w:tblW w:w="10533" w:type="dxa"/>
        <w:tblInd w:w="108" w:type="dxa"/>
        <w:tblLook w:val="04A0" w:firstRow="1" w:lastRow="0" w:firstColumn="1" w:lastColumn="0" w:noHBand="0" w:noVBand="1"/>
      </w:tblPr>
      <w:tblGrid>
        <w:gridCol w:w="669"/>
        <w:gridCol w:w="3017"/>
        <w:gridCol w:w="933"/>
        <w:gridCol w:w="1069"/>
        <w:gridCol w:w="2340"/>
        <w:gridCol w:w="2505"/>
      </w:tblGrid>
      <w:tr w:rsidR="00332749" w:rsidRPr="00332749" w:rsidTr="00B30762">
        <w:trPr>
          <w:trHeight w:val="12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№з/п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Назва реактиву, або еквівалент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 w:rsidRPr="0033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Од.вим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Загальна кількість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НАЦІОНАЛЬНИЙ КЛАСИФІКАТОР УКРАЇНИ</w:t>
            </w: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 xml:space="preserve">Єдиний закупівельний словник ДК 021:2015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НАЦІОНАЛЬНИЙ КЛАСИФІКАТОР УКРАЇНИ Класифікатор медичних виробів НК 024:2019</w:t>
            </w:r>
          </w:p>
        </w:tc>
      </w:tr>
      <w:tr w:rsidR="00332749" w:rsidRPr="00332749" w:rsidTr="00B30762">
        <w:trPr>
          <w:trHeight w:val="650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749" w:rsidRPr="00332749" w:rsidRDefault="00332749" w:rsidP="00332749">
            <w:pPr>
              <w:widowControl w:val="0"/>
              <w:suppressAutoHyphens/>
              <w:overflowPunct w:val="0"/>
              <w:spacing w:after="0" w:line="256" w:lineRule="auto"/>
              <w:jc w:val="center"/>
              <w:rPr>
                <w:rFonts w:ascii="Liberation Serif" w:eastAsia="Tahoma" w:hAnsi="Liberation Serif" w:cs="Liberation Serif"/>
                <w:color w:val="00000A"/>
                <w:kern w:val="2"/>
                <w:sz w:val="20"/>
                <w:szCs w:val="20"/>
                <w:lang w:val="uk-UA" w:eastAsia="zh-CN"/>
              </w:rPr>
            </w:pPr>
            <w:r w:rsidRPr="00332749">
              <w:rPr>
                <w:rFonts w:ascii="Times New Roman" w:eastAsia="Tahoma" w:hAnsi="Times New Roman" w:cs="Times New Roman"/>
                <w:b/>
                <w:color w:val="000000"/>
                <w:kern w:val="2"/>
                <w:sz w:val="28"/>
                <w:szCs w:val="28"/>
                <w:lang w:val="uk-UA" w:eastAsia="zh-CN"/>
              </w:rPr>
              <w:t xml:space="preserve">Лот 1. Реагенти для електрофорезу в </w:t>
            </w:r>
            <w:proofErr w:type="spellStart"/>
            <w:r w:rsidRPr="00332749">
              <w:rPr>
                <w:rFonts w:ascii="Times New Roman" w:eastAsia="Tahoma" w:hAnsi="Times New Roman" w:cs="Times New Roman"/>
                <w:b/>
                <w:color w:val="000000"/>
                <w:kern w:val="2"/>
                <w:sz w:val="28"/>
                <w:szCs w:val="28"/>
                <w:lang w:val="uk-UA" w:eastAsia="zh-CN"/>
              </w:rPr>
              <w:t>агарозному</w:t>
            </w:r>
            <w:proofErr w:type="spellEnd"/>
            <w:r w:rsidRPr="00332749">
              <w:rPr>
                <w:rFonts w:ascii="Times New Roman" w:eastAsia="Tahoma" w:hAnsi="Times New Roman" w:cs="Times New Roman"/>
                <w:b/>
                <w:color w:val="000000"/>
                <w:kern w:val="2"/>
                <w:sz w:val="28"/>
                <w:szCs w:val="28"/>
                <w:lang w:val="uk-UA" w:eastAsia="zh-CN"/>
              </w:rPr>
              <w:t xml:space="preserve"> гелі </w:t>
            </w:r>
            <w:proofErr w:type="spellStart"/>
            <w:r w:rsidRPr="00332749">
              <w:rPr>
                <w:rFonts w:ascii="Times New Roman" w:eastAsia="Tahoma" w:hAnsi="Times New Roman" w:cs="Times New Roman"/>
                <w:b/>
                <w:color w:val="000000"/>
                <w:kern w:val="2"/>
                <w:sz w:val="28"/>
                <w:szCs w:val="28"/>
                <w:lang w:val="uk-UA" w:eastAsia="zh-CN"/>
              </w:rPr>
              <w:t>Hydrasys</w:t>
            </w:r>
            <w:proofErr w:type="spellEnd"/>
          </w:p>
        </w:tc>
      </w:tr>
      <w:tr w:rsidR="00332749" w:rsidRPr="00332749" w:rsidTr="00B30762"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Набір HYDRAGEL 15 Протеїни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Код ДК 021:2015 – 33696500-0 Лабораторні реактиви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53967 Електрофорез білків IVD, набір, електрофорез</w:t>
            </w:r>
          </w:p>
        </w:tc>
      </w:tr>
      <w:tr w:rsidR="00332749" w:rsidRPr="00332749" w:rsidTr="00B30762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Контроль норма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набір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Код ДК 021:2015 – 33696500-0 Лабораторні реактиви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53969 Електрофорез білків IVD,  контрольний матеріал</w:t>
            </w:r>
          </w:p>
        </w:tc>
      </w:tr>
      <w:tr w:rsidR="00332749" w:rsidRPr="00332749" w:rsidTr="00B30762">
        <w:trPr>
          <w:trHeight w:val="649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Контроль </w:t>
            </w:r>
            <w:proofErr w:type="spellStart"/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гіпергамма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набір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Код ДК 021:2015 – 33696500-0 Лабораторні реактиви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lang w:val="uk-UA" w:eastAsia="ru-RU"/>
              </w:rPr>
              <w:t>53969 Електрофорез білків IVD,  контрольний матеріал</w:t>
            </w:r>
          </w:p>
        </w:tc>
      </w:tr>
    </w:tbl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700"/>
        <w:gridCol w:w="2986"/>
        <w:gridCol w:w="1000"/>
        <w:gridCol w:w="840"/>
        <w:gridCol w:w="2412"/>
        <w:gridCol w:w="2552"/>
      </w:tblGrid>
      <w:tr w:rsidR="00332749" w:rsidRPr="00332749" w:rsidTr="00B30762">
        <w:trPr>
          <w:trHeight w:val="134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№з/п</w:t>
            </w: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реактиву, або еквівалент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    Од.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Заг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.       к-сть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НАЦІОНАЛЬНИЙ КЛАСИФІКАТОР УКРАЇНИ</w:t>
            </w:r>
            <w:r w:rsidRPr="003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br/>
              <w:t xml:space="preserve">Єдиний закупівельний словник ДК 021:2015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НАЦІОНАЛЬНИЙ КЛАСИФІКАТОР УКРАЇНИ Класифікатор медичних виробів НК 024:2023</w:t>
            </w:r>
          </w:p>
        </w:tc>
      </w:tr>
      <w:tr w:rsidR="00332749" w:rsidRPr="00332749" w:rsidTr="00B30762">
        <w:trPr>
          <w:trHeight w:val="53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749" w:rsidRPr="00332749" w:rsidRDefault="00332749" w:rsidP="00332749">
            <w:pPr>
              <w:spacing w:after="0" w:line="276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32749">
              <w:rPr>
                <w:rFonts w:ascii="Times New Roman1" w:eastAsia="Times New Roman" w:hAnsi="Times New Roman1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Лот № 2 Латексні системи:</w:t>
            </w:r>
          </w:p>
        </w:tc>
      </w:tr>
      <w:tr w:rsidR="00332749" w:rsidRPr="00332749" w:rsidTr="00B30762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C-реактивний білок (CРБ), з контролем (150 тестів)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3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ДК 021:2015 – 33696500-0 Лабораторні реактиви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63234 </w:t>
            </w: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C-реактивний білок (CRP) ІВД, набір, аглютинація, експрес-аналіз</w:t>
            </w:r>
          </w:p>
        </w:tc>
      </w:tr>
      <w:tr w:rsidR="00332749" w:rsidRPr="00332749" w:rsidTr="00B30762">
        <w:trPr>
          <w:trHeight w:val="134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Ревматоїдний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фактор (RF), з контролем (150 тестів)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3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ДК 021:2015 – 33696500-0 Лабораторні реактиви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37756</w:t>
            </w: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Комплект для ідентифікації антитіл до </w:t>
            </w:r>
            <w:proofErr w:type="spellStart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антистрептолізин</w:t>
            </w:r>
            <w:proofErr w:type="spellEnd"/>
          </w:p>
        </w:tc>
      </w:tr>
      <w:tr w:rsidR="00332749" w:rsidRPr="00332749" w:rsidTr="00B30762">
        <w:trPr>
          <w:trHeight w:val="130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Антистрептолізин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 (ASO), з контролем (150 тестів)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3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уп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ДК 021:2015 – 33696500-0 Лабораторні реактиви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749" w:rsidRPr="00332749" w:rsidRDefault="00332749" w:rsidP="0033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55113</w:t>
            </w:r>
            <w:r w:rsidRPr="00332749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 xml:space="preserve"> </w:t>
            </w:r>
            <w:r w:rsidRPr="00332749"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br/>
            </w:r>
            <w:proofErr w:type="spellStart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Ревматоїдний</w:t>
            </w:r>
            <w:proofErr w:type="spellEnd"/>
            <w:r w:rsidRPr="003327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фактор IVD, реагент</w:t>
            </w:r>
          </w:p>
        </w:tc>
      </w:tr>
    </w:tbl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32749" w:rsidRPr="00332749" w:rsidRDefault="00332749" w:rsidP="00332749">
      <w:pPr>
        <w:spacing w:after="0" w:line="288" w:lineRule="auto"/>
        <w:ind w:firstLine="35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Загальні вимоги :  по Лоту № 1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Вся лабораторна продукція, що представлена на торги повинна: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Бути адаптованою до відповідного аналізатору, що заявлений в лоті.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Мати зазначену на упаковці дату виробництва та термін придатності.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 Поставлятись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 Поставлятись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 Закупатись та поставлятись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 Мати термін придатності на момент поставки не менше 6 місяців та не менше 85 % від передбаченого.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9. Зберігатися та транспортуватися з дотриманням встановлених вимог до кожної позиції.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Вимоги до реагентів :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Загальні: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До реагентів повинна додаватись детальна інструкція українською, російською та англійською мовами (у випадку закордонного виробника).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5. Концентрація </w:t>
      </w:r>
      <w:proofErr w:type="spellStart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аналіту</w:t>
      </w:r>
      <w:proofErr w:type="spellEnd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стандартах, </w:t>
      </w:r>
      <w:proofErr w:type="spellStart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калібраторах</w:t>
      </w:r>
      <w:proofErr w:type="spellEnd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 Контрольний матеріал має бути адаптованим до приладів та тест-систем, що використовуються в лабораторії та мати відповідне підтвердження в паспорті до контрольного матеріалу, або в листі від фірми-постачальника.</w:t>
      </w:r>
    </w:p>
    <w:p w:rsidR="00332749" w:rsidRPr="00332749" w:rsidRDefault="00332749" w:rsidP="00332749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Загальні вимоги :  по Лоту № 2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Вся лабораторна продукція, що представлена на торги повинна: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Мати зазначену на упаковці дату виробництва та термін придатності.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4. Постачатись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5. Постачатись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6. Закуповуватись та постачатись як дрібними партіями протягом року, так і цілим лотом, в залежності від реальних потреб установи та виділених асигнувань.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7. Мати термін придатності на момент поставки не менше 6 місяців та не менше 85 % від передбаченого.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8. Зберігатися та транспортуватися з дотриманням встановлених вимог до кожної позиції.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Вимоги до реагентів :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Загальні: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Реактиви повинні мати зручну форму для використання з мінімальним етапом підготовки, повну комплектацію та неушкоджену упаковку.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До реагентів повинна додаватись детальна інструкція українською та англійською мовами (у випадку закордонного виробника).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5. Концентрація </w:t>
      </w:r>
      <w:proofErr w:type="spellStart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аналіту</w:t>
      </w:r>
      <w:proofErr w:type="spellEnd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стандартах, </w:t>
      </w:r>
      <w:proofErr w:type="spellStart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калібраторах</w:t>
      </w:r>
      <w:proofErr w:type="spellEnd"/>
      <w:r w:rsidRPr="0033274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контролях має гарантовано відповідати, вказаній у паспорті і на упаковці та бути стабільною протягом терміну, встановленому для кожної позиції.</w:t>
      </w:r>
    </w:p>
    <w:p w:rsidR="00332749" w:rsidRPr="00332749" w:rsidRDefault="00332749" w:rsidP="00332749">
      <w:pPr>
        <w:spacing w:after="0" w:line="312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32749" w:rsidRPr="00C26CA8" w:rsidRDefault="00332749" w:rsidP="0033274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5"/>
          <w:szCs w:val="25"/>
        </w:rPr>
      </w:pPr>
      <w:r w:rsidRPr="007838A9">
        <w:rPr>
          <w:color w:val="000000"/>
          <w:sz w:val="28"/>
          <w:szCs w:val="28"/>
        </w:rPr>
        <w:t xml:space="preserve">Розмір бюджетного призначення за кошторисом або очікувана вартість предмета закупівлі. </w:t>
      </w:r>
      <w:bookmarkStart w:id="0" w:name="n36"/>
      <w:bookmarkStart w:id="1" w:name="_Hlk130217459"/>
      <w:bookmarkStart w:id="2" w:name="_Hlk129945392"/>
      <w:bookmarkStart w:id="3" w:name="_Hlk132209595"/>
      <w:bookmarkEnd w:id="0"/>
      <w:r w:rsidRPr="001117A7">
        <w:rPr>
          <w:b/>
          <w:color w:val="000000"/>
          <w:sz w:val="25"/>
          <w:szCs w:val="25"/>
        </w:rPr>
        <w:t>172 000,00грн. ( сто сімдесят дві тисячі гривень 00 коп.) з ПДВ.</w:t>
      </w:r>
      <w:bookmarkEnd w:id="1"/>
      <w:bookmarkEnd w:id="2"/>
    </w:p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bookmarkStart w:id="4" w:name="_GoBack"/>
      <w:bookmarkEnd w:id="3"/>
      <w:bookmarkEnd w:id="4"/>
    </w:p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32749" w:rsidRPr="00332749" w:rsidRDefault="00332749" w:rsidP="0033274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274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32749" w:rsidRPr="00332749" w:rsidRDefault="00332749">
      <w:pPr>
        <w:rPr>
          <w:lang w:val="uk-UA"/>
        </w:rPr>
      </w:pPr>
    </w:p>
    <w:sectPr w:rsidR="00332749" w:rsidRPr="00332749" w:rsidSect="00332749">
      <w:footerReference w:type="even" r:id="rId4"/>
      <w:footerReference w:type="default" r:id="rId5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332749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3327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332749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40</w:t>
    </w:r>
    <w:r>
      <w:rPr>
        <w:rStyle w:val="a3"/>
      </w:rPr>
      <w:fldChar w:fldCharType="end"/>
    </w:r>
  </w:p>
  <w:p w:rsidR="00095851" w:rsidRDefault="00332749" w:rsidP="002E5CC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49"/>
    <w:rsid w:val="0033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940E"/>
  <w15:chartTrackingRefBased/>
  <w15:docId w15:val="{6EE504D7-6117-42F9-8460-DA3FDD5F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32749"/>
  </w:style>
  <w:style w:type="paragraph" w:styleId="a4">
    <w:name w:val="footer"/>
    <w:basedOn w:val="a"/>
    <w:link w:val="a5"/>
    <w:rsid w:val="003327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33274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3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ОБГРУНТУВАННЯ</vt:lpstr>
      <vt:lpstr>МЕДИКО-ТЕХНІЧНІ ВИМОГИ </vt:lpstr>
      <vt:lpstr>на закупівлю по предмету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2024-01-24T12:49:00Z</dcterms:created>
  <dcterms:modified xsi:type="dcterms:W3CDTF">2024-01-24T12:50:00Z</dcterms:modified>
</cp:coreProperties>
</file>