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0C" w:rsidRPr="00D46F0C" w:rsidRDefault="00E3582B" w:rsidP="00D46F0C">
      <w:pPr>
        <w:pStyle w:val="5"/>
        <w:numPr>
          <w:ilvl w:val="4"/>
          <w:numId w:val="2"/>
        </w:numPr>
        <w:spacing w:before="0" w:after="0"/>
        <w:ind w:left="0" w:firstLine="539"/>
        <w:jc w:val="center"/>
        <w:rPr>
          <w:color w:val="1A1A1A"/>
          <w:lang w:val="uk-UA"/>
        </w:rPr>
      </w:pPr>
      <w:proofErr w:type="spellStart"/>
      <w:r w:rsidRPr="00E3582B">
        <w:rPr>
          <w:i w:val="0"/>
          <w:color w:val="1A1A1A"/>
          <w:sz w:val="28"/>
          <w:szCs w:val="28"/>
          <w:lang w:val="uk-UA"/>
        </w:rPr>
        <w:t>Обгрунтування</w:t>
      </w:r>
      <w:proofErr w:type="spellEnd"/>
      <w:r w:rsidRPr="00E3582B">
        <w:rPr>
          <w:i w:val="0"/>
          <w:color w:val="1A1A1A"/>
          <w:sz w:val="28"/>
          <w:szCs w:val="28"/>
          <w:lang w:val="uk-UA"/>
        </w:rPr>
        <w:t xml:space="preserve"> технічних, якісних і кількісних характеристик:</w:t>
      </w:r>
    </w:p>
    <w:p w:rsidR="00D46F0C" w:rsidRDefault="005F212C" w:rsidP="005D7B2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6F0C" w:rsidRPr="005D7B22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46F0C" w:rsidRPr="005D7B22">
        <w:rPr>
          <w:rFonts w:ascii="Times New Roman" w:hAnsi="Times New Roman" w:cs="Times New Roman"/>
          <w:b/>
          <w:sz w:val="28"/>
          <w:szCs w:val="28"/>
        </w:rPr>
        <w:t xml:space="preserve"> закупівлі: медичні матеріали - код ДК 021:2015: 33140000-3 </w:t>
      </w:r>
      <w:r w:rsidR="00D46F0C" w:rsidRPr="005D7B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медичні матеріали</w:t>
      </w:r>
      <w:r w:rsidR="00D46F0C" w:rsidRPr="005D7B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212C">
        <w:rPr>
          <w:rFonts w:ascii="Times New Roman" w:hAnsi="Times New Roman"/>
          <w:b/>
          <w:sz w:val="28"/>
          <w:szCs w:val="28"/>
        </w:rPr>
        <w:t xml:space="preserve">пластиковий контейнер для крові людини та </w:t>
      </w:r>
      <w:proofErr w:type="spellStart"/>
      <w:r w:rsidRPr="005F212C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5F212C">
        <w:rPr>
          <w:rFonts w:ascii="Times New Roman" w:hAnsi="Times New Roman"/>
          <w:b/>
          <w:sz w:val="28"/>
          <w:szCs w:val="28"/>
        </w:rPr>
        <w:t xml:space="preserve"> компонентів з розчинами антикоагулянту ЦФД (CPD) та консерванту САГМ (SAGM) з фільтром зчетверений одноразового використання стерильний, 450 мл з аксесуарами</w:t>
      </w:r>
      <w:r w:rsidR="00D46F0C" w:rsidRPr="005D7B22">
        <w:rPr>
          <w:rFonts w:ascii="Times New Roman" w:hAnsi="Times New Roman" w:cs="Times New Roman"/>
          <w:b/>
          <w:sz w:val="28"/>
          <w:szCs w:val="28"/>
        </w:rPr>
        <w:t>)</w:t>
      </w:r>
    </w:p>
    <w:p w:rsidR="005C2938" w:rsidRPr="005D7B22" w:rsidRDefault="005C2938" w:rsidP="005C293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(код </w:t>
      </w:r>
      <w:r w:rsidRPr="005C2938">
        <w:rPr>
          <w:rFonts w:ascii="Times New Roman" w:hAnsi="Times New Roman" w:cs="Times New Roman"/>
          <w:b/>
          <w:sz w:val="28"/>
          <w:szCs w:val="28"/>
        </w:rPr>
        <w:t>33141600-6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2938">
        <w:rPr>
          <w:rFonts w:ascii="Times New Roman" w:hAnsi="Times New Roman" w:cs="Times New Roman"/>
          <w:b/>
          <w:sz w:val="28"/>
          <w:szCs w:val="28"/>
        </w:rPr>
        <w:t xml:space="preserve">Контейнери та </w:t>
      </w:r>
      <w:r>
        <w:rPr>
          <w:rFonts w:ascii="Times New Roman" w:hAnsi="Times New Roman" w:cs="Times New Roman"/>
          <w:b/>
          <w:sz w:val="28"/>
          <w:szCs w:val="28"/>
        </w:rPr>
        <w:t>пакети для забору матеріалу для</w:t>
      </w:r>
      <w:r w:rsidRPr="005C2938">
        <w:rPr>
          <w:rFonts w:ascii="Times New Roman" w:hAnsi="Times New Roman" w:cs="Times New Roman"/>
          <w:b/>
          <w:sz w:val="28"/>
          <w:szCs w:val="28"/>
        </w:rPr>
        <w:t xml:space="preserve"> аналізів, дренажі та комплекти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X="-176" w:tblpY="1"/>
        <w:tblOverlap w:val="never"/>
        <w:tblW w:w="10825" w:type="dxa"/>
        <w:tblLayout w:type="fixed"/>
        <w:tblLook w:val="0000" w:firstRow="0" w:lastRow="0" w:firstColumn="0" w:lastColumn="0" w:noHBand="0" w:noVBand="0"/>
      </w:tblPr>
      <w:tblGrid>
        <w:gridCol w:w="720"/>
        <w:gridCol w:w="7927"/>
        <w:gridCol w:w="2170"/>
        <w:gridCol w:w="8"/>
      </w:tblGrid>
      <w:tr w:rsidR="00422666" w:rsidRPr="00D46F0C" w:rsidTr="005F212C">
        <w:trPr>
          <w:gridAfter w:val="1"/>
          <w:wAfter w:w="8" w:type="dxa"/>
          <w:trHeight w:val="8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ja-JP"/>
              </w:rPr>
            </w:pPr>
            <w:r w:rsidRPr="00D46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ja-JP"/>
              </w:rPr>
              <w:t>№</w:t>
            </w:r>
            <w:r w:rsidRPr="00D46F0C">
              <w:rPr>
                <w:rFonts w:ascii="Times New Roman" w:hAnsi="Times New Roman"/>
                <w:b/>
                <w:bCs/>
                <w:sz w:val="24"/>
                <w:szCs w:val="24"/>
                <w:lang w:val="uk-UA" w:eastAsia="ja-JP"/>
              </w:rPr>
              <w:t xml:space="preserve"> з/п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  <w:t>Відповідність</w:t>
            </w:r>
          </w:p>
          <w:p w:rsidR="00422666" w:rsidRPr="00D46F0C" w:rsidRDefault="00422666" w:rsidP="005F21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  <w:t>("Так"/"Ні")</w:t>
            </w:r>
          </w:p>
        </w:tc>
      </w:tr>
      <w:tr w:rsidR="00422666" w:rsidRPr="00D46F0C" w:rsidTr="005F212C">
        <w:trPr>
          <w:trHeight w:val="471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</w:t>
            </w:r>
            <w:r w:rsidR="00D46F0C" w:rsidRPr="00D46F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46F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</w:t>
            </w:r>
          </w:p>
        </w:tc>
      </w:tr>
      <w:tr w:rsidR="00422666" w:rsidRPr="00D46F0C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І.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</w:t>
            </w:r>
            <w:r w:rsidRPr="00D46F0C">
              <w:rPr>
                <w:rFonts w:ascii="Times New Roman" w:eastAsia="Book Antiqua" w:hAnsi="Times New Roman"/>
                <w:color w:val="000000"/>
                <w:sz w:val="24"/>
                <w:szCs w:val="24"/>
                <w:lang w:val="uk-UA"/>
              </w:rPr>
              <w:t xml:space="preserve"> Сертифікату та 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декларації про відповідність медичних виробів Технічному регламенту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66" w:rsidRPr="00D46F0C" w:rsidRDefault="00422666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  <w:tr w:rsidR="00422666" w:rsidRPr="00D46F0C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D46F0C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 xml:space="preserve"> </w:t>
            </w:r>
            <w:r w:rsidR="00422666"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I</w:t>
            </w:r>
            <w:r w:rsidR="00422666" w:rsidRPr="00D46F0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І</w:t>
            </w:r>
            <w:r w:rsidR="00422666"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С</w:t>
            </w:r>
            <w:proofErr w:type="spellStart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>ертифікат</w:t>
            </w:r>
            <w:proofErr w:type="spellEnd"/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>аналізів</w:t>
            </w:r>
            <w:proofErr w:type="spellEnd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>інструкції</w:t>
            </w:r>
            <w:proofErr w:type="spellEnd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>виробника</w:t>
            </w:r>
            <w:proofErr w:type="spellEnd"/>
            <w:r w:rsidRPr="00D46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товар українською мовою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66" w:rsidRPr="00D46F0C" w:rsidRDefault="00422666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  <w:tr w:rsidR="00422666" w:rsidRPr="00D713D3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523F2B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I</w:t>
            </w:r>
            <w:proofErr w:type="gramStart"/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ІІ</w:t>
            </w: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 xml:space="preserve"> </w:t>
            </w:r>
            <w:r w:rsidR="00422666"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.</w:t>
            </w:r>
            <w:proofErr w:type="gramEnd"/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Гарантійний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 виробника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(оригінал) товару або уповноваженого представника товару в Україні з підтвердженням його повноважень від виробника товару, яким підтверджується можливість постачання товару, який є предметом закупівлі цих торгів, у необхідній кількості, якості, зі строками придатності та в необхідні терміни, визначені цією документацією.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66" w:rsidRPr="00D46F0C" w:rsidRDefault="00422666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  <w:tr w:rsidR="00422666" w:rsidRPr="00D713D3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523F2B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I</w:t>
            </w:r>
            <w:r w:rsidR="00422666"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V.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Запропонований товар повинен повністю відповідати вимогам зазначеним у Таблиці відповідності. Учасник заповнює таблицю відповідності у вигляді гарантійного листа з обов’язковим зазначенням відповідності по кожному пункту.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66" w:rsidRPr="00D46F0C" w:rsidRDefault="00422666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  <w:tr w:rsidR="00422666" w:rsidRPr="00D46F0C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V</w:t>
            </w: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66" w:rsidRPr="00D46F0C" w:rsidRDefault="00422666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6F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разі  необхідності замовник має право вимагати надання по  одному зразку товару, що пропонується до постачання, протягом 2-х робочих днів. Надати гарантійний лист Учасника.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66" w:rsidRPr="00D46F0C" w:rsidRDefault="00422666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  <w:tr w:rsidR="005F212C" w:rsidRPr="00D46F0C" w:rsidTr="005F212C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12C" w:rsidRPr="00D46F0C" w:rsidRDefault="005F212C" w:rsidP="005F212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46F0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VI.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12C" w:rsidRPr="00D46F0C" w:rsidRDefault="005F212C" w:rsidP="005F21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Відповідність контейнерів для крові міжнародному стандарту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-1:2019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завірену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підтверджуючого документу уповноваженого представника в Україні.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2C" w:rsidRPr="00D46F0C" w:rsidRDefault="005F212C" w:rsidP="005F212C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</w:tr>
    </w:tbl>
    <w:p w:rsidR="00422666" w:rsidRPr="00D46F0C" w:rsidRDefault="00422666" w:rsidP="00D46F0C">
      <w:pPr>
        <w:widowControl w:val="0"/>
        <w:tabs>
          <w:tab w:val="left" w:pos="-1985"/>
          <w:tab w:val="left" w:pos="-1560"/>
          <w:tab w:val="left" w:pos="-1418"/>
          <w:tab w:val="left" w:pos="153"/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22666" w:rsidRPr="00D46F0C" w:rsidRDefault="00422666" w:rsidP="00D46F0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6F0C">
        <w:rPr>
          <w:rFonts w:ascii="Times New Roman" w:hAnsi="Times New Roman"/>
          <w:b/>
          <w:i/>
          <w:sz w:val="24"/>
          <w:szCs w:val="24"/>
          <w:lang w:val="uk-UA"/>
        </w:rPr>
        <w:t>Таблиця відповідності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5620"/>
        <w:gridCol w:w="1111"/>
        <w:gridCol w:w="1275"/>
      </w:tblGrid>
      <w:tr w:rsidR="00092BF0" w:rsidRPr="00D46F0C" w:rsidTr="005F212C">
        <w:trPr>
          <w:trHeight w:val="606"/>
          <w:jc w:val="center"/>
        </w:trPr>
        <w:tc>
          <w:tcPr>
            <w:tcW w:w="2757" w:type="dxa"/>
            <w:vAlign w:val="center"/>
          </w:tcPr>
          <w:p w:rsidR="00092BF0" w:rsidRPr="005F212C" w:rsidRDefault="00092BF0" w:rsidP="00D46F0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предмету </w:t>
            </w:r>
            <w:proofErr w:type="spellStart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закупівлі</w:t>
            </w:r>
            <w:proofErr w:type="spellEnd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2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еквівалент</w:t>
            </w:r>
            <w:proofErr w:type="spellEnd"/>
          </w:p>
        </w:tc>
        <w:tc>
          <w:tcPr>
            <w:tcW w:w="5620" w:type="dxa"/>
            <w:vAlign w:val="center"/>
          </w:tcPr>
          <w:p w:rsidR="00092BF0" w:rsidRPr="005F212C" w:rsidRDefault="00092BF0" w:rsidP="00D46F0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F212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Медико-технічні вимоги</w:t>
            </w:r>
          </w:p>
        </w:tc>
        <w:tc>
          <w:tcPr>
            <w:tcW w:w="1111" w:type="dxa"/>
          </w:tcPr>
          <w:p w:rsidR="00092BF0" w:rsidRPr="005F212C" w:rsidRDefault="00092BF0" w:rsidP="00D46F0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F212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Кількість, </w:t>
            </w:r>
            <w:proofErr w:type="spellStart"/>
            <w:r w:rsidRPr="005F212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275" w:type="dxa"/>
            <w:vAlign w:val="center"/>
          </w:tcPr>
          <w:p w:rsidR="00092BF0" w:rsidRPr="005F212C" w:rsidRDefault="00092BF0" w:rsidP="00D46F0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F212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Відповідність (так/ні) з посиланням на сторінку документу виробника</w:t>
            </w:r>
          </w:p>
        </w:tc>
      </w:tr>
      <w:tr w:rsidR="00092BF0" w:rsidRPr="00D46F0C" w:rsidTr="005F212C">
        <w:trPr>
          <w:jc w:val="center"/>
        </w:trPr>
        <w:tc>
          <w:tcPr>
            <w:tcW w:w="2757" w:type="dxa"/>
          </w:tcPr>
          <w:p w:rsidR="00092BF0" w:rsidRPr="005F212C" w:rsidRDefault="005F212C" w:rsidP="00D46F0C">
            <w:pPr>
              <w:widowControl w:val="0"/>
              <w:tabs>
                <w:tab w:val="left" w:pos="-1985"/>
                <w:tab w:val="left" w:pos="-1560"/>
                <w:tab w:val="left" w:pos="-1418"/>
                <w:tab w:val="left" w:pos="153"/>
                <w:tab w:val="left" w:pos="720"/>
                <w:tab w:val="left" w:pos="1026"/>
              </w:tabs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Пластиковий контейнер для крові людини та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ії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компонентів з розчинами антикоагулянту ЦФД (CPD) та консерванту САГМ (SAGM) з фільтром зчетверений одноразового використання стерильний, 450 мл з аксесуарами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(код НК 2023 – </w:t>
            </w:r>
            <w:r w:rsidRPr="005F212C">
              <w:rPr>
                <w:rFonts w:ascii="Times New Roman" w:hAnsi="Times New Roman" w:cs="Times New Roman"/>
                <w:b/>
              </w:rPr>
              <w:t>46811</w:t>
            </w:r>
            <w:r w:rsidRPr="005F212C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5620" w:type="dxa"/>
            <w:vAlign w:val="center"/>
          </w:tcPr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 Контейнер повинен бути виконаним у формі єдиного пристрою, який забезпечує можливість взяття та розділення крові у замкнутій системі з верхнім розташуванням трубок.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 Донорська магістраль та лінія відбору зразків крові повинні мати стаціонарний (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нез’ємний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) затискач.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Донаційний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мішок повинен містити антикоагулянт у кількості 63 мл для взяття 450 мл. цільної крові. Надати копію етикетки.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До складу антикоагулянту не повинен входити аденін.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Трансферний контейнер для профільтрованої цільної крові повинен мати номінальний об’єм  500 мл.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копію етикетки.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• Контейнер для крові, повинен бути обладнаний вбудованим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лейкофільтром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цільної крові, що забезпечує фільтрацію консервованої донорської крові до розподілу її на компоненти.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• Фільтр повинен забезпечувати видалення лейкоцитів із кінцевою залишковою їх кількістю не більшою 1*10</w:t>
            </w:r>
            <w:r w:rsidRPr="005F212C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6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дозу.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підтверджуючий документ виробника та уповноваженого представника в Україні.</w:t>
            </w:r>
            <w:r w:rsidRPr="005F21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Наявність додаткового фільтру попередньої очистки крові від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мікрозгустків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• Один із додаткових мішків повинен містити консервант з аденіном для еритроцитів, який забезпечує їх придатність до використання впродовж не менше 42 діб та мати об’єм 450 мл.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копію етикетки.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Додатковий мішок для плазми повинен мати об’єм  450 мл.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копію етикетки.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Пластик контейнерів для крові має витримувати температуру заморожування до – 80º С.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підтверджуючий документ виробника та уповноваженого представника в Україні.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 З'єднувальні трубки повинні мати ідентичні ідентифікаційні номери.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Контейнер повинен бути обладнаний стерильною голкою одноразового застосування із захисним ковпачком.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Контейнер повинен бути обладнаний пристроєм для утримування вакуумних пробірок при заповненні їх кров'ю.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Контейнер повинен бути обладнаний захистом від уколу голкою персоналу після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донації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допомогою механізму блокування та фіксації голки в пристрої.</w:t>
            </w:r>
          </w:p>
          <w:p w:rsidR="005F212C" w:rsidRPr="005F212C" w:rsidRDefault="005F212C" w:rsidP="005F212C">
            <w:pPr>
              <w:widowControl w:val="0"/>
              <w:shd w:val="clear" w:color="auto" w:fill="FFFFFF"/>
              <w:spacing w:after="0" w:line="240" w:lineRule="auto"/>
              <w:ind w:left="44"/>
              <w:rPr>
                <w:rFonts w:ascii="Times New Roman" w:hAnsi="Times New Roman"/>
                <w:b/>
                <w:sz w:val="20"/>
                <w:szCs w:val="20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Контейнер повинен бути обладнаний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переддонаційним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мішком об</w:t>
            </w:r>
            <w:r w:rsidRPr="005F212C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ємом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 менше 40 мл для відбору проб крові на дослідження.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підтверджуючий документ виробника та уповноваженого представника в Україні.</w:t>
            </w:r>
          </w:p>
          <w:p w:rsidR="005F212C" w:rsidRPr="005F212C" w:rsidRDefault="005F212C" w:rsidP="005F212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4" w:hanging="29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Маркування контейнерів українською мовою. Відповідність маркування контейнерів Технічному регламенту щодо медичних виробів, затвердженого постановою Кабінету Міністрів України від 2 жовтня 2013 р. № 753. 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копію індивідуальної та групової етикетки та гарантійний лист уповноваженого представника в Україні про поставку товару з маркуванням українською мовою.</w:t>
            </w:r>
          </w:p>
          <w:p w:rsidR="00092BF0" w:rsidRPr="005F212C" w:rsidRDefault="005F212C" w:rsidP="005F2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•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Донаційний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трансферні (додаткові) контейнери повинні бути оснащені 2 штуцерами для під’єднання </w:t>
            </w:r>
            <w:proofErr w:type="spellStart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>трансфузійних</w:t>
            </w:r>
            <w:proofErr w:type="spellEnd"/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пристроїв та систем для переливання крові та її компонентів. Конструкція штуцера повинна мати внутрішній мембранний клапан та елемент контролю «першого розкриття». Кожен штуцер повинен мати захисну оболонку у вигляді мембрани-пелюстка. </w:t>
            </w:r>
            <w:r w:rsidRPr="005F21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Надати фото контейнерів.</w:t>
            </w:r>
            <w:r w:rsidRPr="005F21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Групове пакування контейнерів не більше 4-х в упаковці.</w:t>
            </w:r>
          </w:p>
        </w:tc>
        <w:tc>
          <w:tcPr>
            <w:tcW w:w="1111" w:type="dxa"/>
          </w:tcPr>
          <w:p w:rsidR="00092BF0" w:rsidRPr="00D46F0C" w:rsidRDefault="00D713D3" w:rsidP="003E2C5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="005F21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700</w:t>
            </w:r>
          </w:p>
        </w:tc>
        <w:tc>
          <w:tcPr>
            <w:tcW w:w="1275" w:type="dxa"/>
          </w:tcPr>
          <w:p w:rsidR="00092BF0" w:rsidRPr="00D46F0C" w:rsidRDefault="00092BF0" w:rsidP="00D46F0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713D3" w:rsidRPr="00BD767D" w:rsidRDefault="00D713D3" w:rsidP="00D713D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6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Очікувана вартість закупівлі складає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1213380,00</w:t>
      </w:r>
      <w:r w:rsidRPr="00BD767D">
        <w:rPr>
          <w:rFonts w:ascii="Times New Roman" w:hAnsi="Times New Roman" w:cs="Times New Roman"/>
          <w:b/>
          <w:sz w:val="24"/>
          <w:szCs w:val="24"/>
          <w:lang w:val="uk-UA"/>
        </w:rPr>
        <w:t>грн.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один мільйон двісті тринадцять </w:t>
      </w:r>
      <w:r w:rsidRPr="00BD76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тисяч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триста</w:t>
      </w:r>
      <w:r w:rsidRPr="00BD76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вісімдесят гривень 00 коп.) з ПДВ.</w:t>
      </w:r>
    </w:p>
    <w:p w:rsidR="00D46F0C" w:rsidRPr="00E87507" w:rsidRDefault="00D46F0C">
      <w:pPr>
        <w:rPr>
          <w:lang w:val="uk-UA"/>
        </w:rPr>
      </w:pPr>
      <w:bookmarkStart w:id="0" w:name="_GoBack"/>
      <w:bookmarkEnd w:id="0"/>
    </w:p>
    <w:sectPr w:rsidR="00D46F0C" w:rsidRPr="00E87507" w:rsidSect="005F212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FD04D1"/>
    <w:multiLevelType w:val="hybridMultilevel"/>
    <w:tmpl w:val="EF228C2E"/>
    <w:lvl w:ilvl="0" w:tplc="4ACC04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643AD"/>
    <w:multiLevelType w:val="multilevel"/>
    <w:tmpl w:val="ECDC7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62"/>
    <w:rsid w:val="00044461"/>
    <w:rsid w:val="00053431"/>
    <w:rsid w:val="000774CB"/>
    <w:rsid w:val="00092BF0"/>
    <w:rsid w:val="00123285"/>
    <w:rsid w:val="001C4906"/>
    <w:rsid w:val="002D13DB"/>
    <w:rsid w:val="002F5306"/>
    <w:rsid w:val="00310144"/>
    <w:rsid w:val="003167BD"/>
    <w:rsid w:val="00321780"/>
    <w:rsid w:val="003A5E9F"/>
    <w:rsid w:val="003E2C56"/>
    <w:rsid w:val="00422666"/>
    <w:rsid w:val="0042665F"/>
    <w:rsid w:val="00487FDC"/>
    <w:rsid w:val="004A0F93"/>
    <w:rsid w:val="00523F2B"/>
    <w:rsid w:val="005A5462"/>
    <w:rsid w:val="005C2938"/>
    <w:rsid w:val="005D7B22"/>
    <w:rsid w:val="005E7038"/>
    <w:rsid w:val="005F212C"/>
    <w:rsid w:val="0066005F"/>
    <w:rsid w:val="006829A3"/>
    <w:rsid w:val="00806416"/>
    <w:rsid w:val="00822EEB"/>
    <w:rsid w:val="008901E7"/>
    <w:rsid w:val="00903DF2"/>
    <w:rsid w:val="00AC3198"/>
    <w:rsid w:val="00B07137"/>
    <w:rsid w:val="00B434BA"/>
    <w:rsid w:val="00BD767D"/>
    <w:rsid w:val="00C00BA3"/>
    <w:rsid w:val="00C826BB"/>
    <w:rsid w:val="00CE7E4F"/>
    <w:rsid w:val="00D17E16"/>
    <w:rsid w:val="00D46F0C"/>
    <w:rsid w:val="00D713D3"/>
    <w:rsid w:val="00DA5B2F"/>
    <w:rsid w:val="00DA6FB6"/>
    <w:rsid w:val="00DB2F1D"/>
    <w:rsid w:val="00DE4B4B"/>
    <w:rsid w:val="00E3582B"/>
    <w:rsid w:val="00E45176"/>
    <w:rsid w:val="00E466EF"/>
    <w:rsid w:val="00E87507"/>
    <w:rsid w:val="00F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6A71"/>
  <w15:docId w15:val="{AC49E297-2023-498A-9403-B712C52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176"/>
  </w:style>
  <w:style w:type="paragraph" w:styleId="5">
    <w:name w:val="heading 5"/>
    <w:basedOn w:val="a"/>
    <w:next w:val="a0"/>
    <w:link w:val="50"/>
    <w:qFormat/>
    <w:rsid w:val="00D46F0C"/>
    <w:pPr>
      <w:suppressAutoHyphens/>
      <w:spacing w:before="240" w:after="60" w:line="100" w:lineRule="atLeast"/>
      <w:ind w:left="3600" w:hanging="3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1"/>
    <w:rsid w:val="00E87507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50">
    <w:name w:val="Заголовок 5 Знак"/>
    <w:basedOn w:val="a1"/>
    <w:link w:val="5"/>
    <w:rsid w:val="00D46F0C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46F0C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D46F0C"/>
  </w:style>
  <w:style w:type="character" w:styleId="a5">
    <w:name w:val="Strong"/>
    <w:qFormat/>
    <w:rsid w:val="00D46F0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D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5D7B22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C8BC-4C41-49E7-BD9B-A5056B22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3225</Words>
  <Characters>1839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User</cp:lastModifiedBy>
  <cp:revision>2</cp:revision>
  <cp:lastPrinted>2024-03-25T07:59:00Z</cp:lastPrinted>
  <dcterms:created xsi:type="dcterms:W3CDTF">2024-06-04T06:37:00Z</dcterms:created>
  <dcterms:modified xsi:type="dcterms:W3CDTF">2024-06-04T06:37:00Z</dcterms:modified>
</cp:coreProperties>
</file>