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A57074" w:rsidRPr="00354AEE" w:rsidRDefault="00A57074" w:rsidP="00A57074">
      <w:pPr>
        <w:jc w:val="right"/>
        <w:rPr>
          <w:b/>
          <w:bCs/>
          <w:i/>
          <w:iCs/>
        </w:rPr>
      </w:pPr>
    </w:p>
    <w:p w:rsidR="00A57074" w:rsidRPr="00354AEE" w:rsidRDefault="00A57074" w:rsidP="00A57074">
      <w:pPr>
        <w:jc w:val="center"/>
        <w:outlineLvl w:val="0"/>
        <w:rPr>
          <w:b/>
          <w:sz w:val="28"/>
          <w:szCs w:val="28"/>
        </w:rPr>
      </w:pPr>
      <w:r w:rsidRPr="00354AEE">
        <w:t xml:space="preserve"> </w:t>
      </w:r>
      <w:r w:rsidRPr="00354AEE">
        <w:rPr>
          <w:b/>
          <w:sz w:val="28"/>
          <w:szCs w:val="28"/>
        </w:rPr>
        <w:t xml:space="preserve">ТЕХНІЧНІ ВИМОГИ </w:t>
      </w:r>
    </w:p>
    <w:p w:rsidR="00A57074" w:rsidRPr="00354AEE" w:rsidRDefault="00A57074" w:rsidP="00A57074">
      <w:pPr>
        <w:jc w:val="center"/>
        <w:outlineLvl w:val="0"/>
        <w:rPr>
          <w:b/>
          <w:sz w:val="28"/>
          <w:szCs w:val="28"/>
        </w:rPr>
      </w:pPr>
      <w:r w:rsidRPr="00354AEE">
        <w:rPr>
          <w:b/>
          <w:sz w:val="28"/>
          <w:szCs w:val="28"/>
        </w:rPr>
        <w:t>на закупівлю по предмету</w:t>
      </w:r>
    </w:p>
    <w:p w:rsidR="00A57074" w:rsidRDefault="00A57074" w:rsidP="00A57074">
      <w:pPr>
        <w:shd w:val="clear" w:color="auto" w:fill="FFFFFF"/>
        <w:jc w:val="center"/>
        <w:rPr>
          <w:rFonts w:eastAsia="Calibri"/>
          <w:b/>
          <w:bCs/>
          <w:lang w:eastAsia="en-US"/>
        </w:rPr>
      </w:pPr>
      <w:r w:rsidRPr="00354AEE">
        <w:rPr>
          <w:b/>
          <w:bCs/>
          <w:iCs/>
          <w:color w:val="222222"/>
        </w:rPr>
        <w:t>код ДК 021:2015 (</w:t>
      </w:r>
      <w:r w:rsidRPr="00354AEE">
        <w:rPr>
          <w:b/>
          <w:bCs/>
          <w:iCs/>
          <w:color w:val="222222"/>
          <w:lang w:val="en-US"/>
        </w:rPr>
        <w:t>CPV</w:t>
      </w:r>
      <w:r w:rsidRPr="00354AEE">
        <w:rPr>
          <w:b/>
          <w:bCs/>
          <w:iCs/>
          <w:color w:val="222222"/>
        </w:rPr>
        <w:t>) – 50420000-5 Послуги з ремонту і технічного обслуговування медичного та хірургічного обладнання </w:t>
      </w:r>
      <w:bookmarkStart w:id="0" w:name="_Hlk134626136"/>
      <w:r>
        <w:rPr>
          <w:b/>
          <w:bCs/>
          <w:iCs/>
          <w:color w:val="222222"/>
        </w:rPr>
        <w:t>(</w:t>
      </w:r>
      <w:r w:rsidRPr="00354AEE">
        <w:rPr>
          <w:rFonts w:eastAsia="Calibri"/>
          <w:b/>
          <w:bCs/>
          <w:lang w:eastAsia="en-US"/>
        </w:rPr>
        <w:t xml:space="preserve">послуги з технічного обслуговування </w:t>
      </w:r>
      <w:bookmarkEnd w:id="0"/>
      <w:proofErr w:type="spellStart"/>
      <w:r>
        <w:rPr>
          <w:rFonts w:eastAsia="Calibri"/>
          <w:b/>
          <w:bCs/>
          <w:lang w:eastAsia="en-US"/>
        </w:rPr>
        <w:t>електрохемілюмінесцентного</w:t>
      </w:r>
      <w:proofErr w:type="spellEnd"/>
      <w:r w:rsidRPr="00354AEE">
        <w:rPr>
          <w:rFonts w:eastAsia="Calibri"/>
          <w:b/>
          <w:bCs/>
          <w:lang w:eastAsia="en-US"/>
        </w:rPr>
        <w:t xml:space="preserve"> аналізатора </w:t>
      </w:r>
      <w:bookmarkStart w:id="1" w:name="_Hlk134626153"/>
      <w:r w:rsidRPr="00354AEE">
        <w:rPr>
          <w:rFonts w:eastAsia="Calibri"/>
          <w:b/>
          <w:bCs/>
          <w:lang w:eastAsia="en-US"/>
        </w:rPr>
        <w:t>С</w:t>
      </w:r>
      <w:proofErr w:type="spellStart"/>
      <w:r w:rsidRPr="00354AEE">
        <w:rPr>
          <w:rFonts w:eastAsia="Calibri"/>
          <w:b/>
          <w:bCs/>
          <w:lang w:val="en-US" w:eastAsia="en-US"/>
        </w:rPr>
        <w:t>obas</w:t>
      </w:r>
      <w:proofErr w:type="spellEnd"/>
      <w:r w:rsidRPr="00354AEE">
        <w:rPr>
          <w:rFonts w:eastAsia="Calibri"/>
          <w:b/>
          <w:bCs/>
          <w:lang w:eastAsia="en-US"/>
        </w:rPr>
        <w:t xml:space="preserve"> е411</w:t>
      </w:r>
      <w:r>
        <w:rPr>
          <w:rFonts w:eastAsia="Calibri"/>
          <w:b/>
          <w:bCs/>
          <w:lang w:eastAsia="en-US"/>
        </w:rPr>
        <w:t xml:space="preserve"> із заміною запасних частин </w:t>
      </w:r>
      <w:r w:rsidRPr="00354AEE">
        <w:rPr>
          <w:rFonts w:eastAsia="Calibri"/>
          <w:b/>
          <w:bCs/>
          <w:lang w:eastAsia="en-US"/>
        </w:rPr>
        <w:t xml:space="preserve">для Українського </w:t>
      </w:r>
      <w:proofErr w:type="spellStart"/>
      <w:r w:rsidRPr="00354AEE">
        <w:rPr>
          <w:rFonts w:eastAsia="Calibri"/>
          <w:b/>
          <w:bCs/>
          <w:lang w:eastAsia="en-US"/>
        </w:rPr>
        <w:t>Референс</w:t>
      </w:r>
      <w:proofErr w:type="spellEnd"/>
      <w:r w:rsidRPr="00354AEE">
        <w:rPr>
          <w:rFonts w:eastAsia="Calibri"/>
          <w:b/>
          <w:bCs/>
          <w:lang w:eastAsia="en-US"/>
        </w:rPr>
        <w:t xml:space="preserve">-центру з клінічної лабораторної діагностики  та метрології  </w:t>
      </w:r>
      <w:r w:rsidRPr="00450C9E">
        <w:rPr>
          <w:rFonts w:eastAsia="Calibri"/>
          <w:b/>
          <w:bCs/>
          <w:lang w:eastAsia="en-US"/>
        </w:rPr>
        <w:t>НДСЛ</w:t>
      </w:r>
      <w:r w:rsidRPr="00354AEE">
        <w:rPr>
          <w:rFonts w:eastAsia="Calibri"/>
          <w:b/>
          <w:bCs/>
          <w:lang w:eastAsia="en-US"/>
        </w:rPr>
        <w:t xml:space="preserve"> "Охматдит"</w:t>
      </w:r>
      <w:r>
        <w:rPr>
          <w:rFonts w:eastAsia="Calibri"/>
          <w:b/>
          <w:bCs/>
          <w:lang w:eastAsia="en-US"/>
        </w:rPr>
        <w:t xml:space="preserve"> МОЗ України</w:t>
      </w:r>
      <w:r w:rsidRPr="00354AEE">
        <w:rPr>
          <w:rFonts w:eastAsia="Calibri"/>
          <w:b/>
          <w:bCs/>
          <w:lang w:eastAsia="en-US"/>
        </w:rPr>
        <w:t>)</w:t>
      </w:r>
      <w:bookmarkEnd w:id="1"/>
    </w:p>
    <w:p w:rsidR="00A57074" w:rsidRPr="00354AEE" w:rsidRDefault="00A57074" w:rsidP="00A57074">
      <w:pPr>
        <w:shd w:val="clear" w:color="auto" w:fill="FFFFFF"/>
        <w:jc w:val="center"/>
        <w:rPr>
          <w:b/>
          <w:bCs/>
          <w:iCs/>
          <w:color w:val="222222"/>
        </w:rPr>
      </w:pPr>
    </w:p>
    <w:p w:rsidR="00A57074" w:rsidRPr="00F116AE" w:rsidRDefault="00A57074" w:rsidP="00A57074">
      <w:pPr>
        <w:ind w:right="284" w:firstLine="567"/>
        <w:rPr>
          <w:b/>
          <w:sz w:val="28"/>
          <w:szCs w:val="28"/>
        </w:rPr>
      </w:pPr>
      <w:r w:rsidRPr="00354AEE">
        <w:rPr>
          <w:b/>
          <w:sz w:val="28"/>
          <w:szCs w:val="28"/>
        </w:rPr>
        <w:t>Обґрунтування закупівлі:</w:t>
      </w:r>
      <w:r>
        <w:rPr>
          <w:b/>
          <w:sz w:val="28"/>
          <w:szCs w:val="28"/>
          <w:lang w:val="en-US"/>
        </w:rPr>
        <w:t xml:space="preserve"> </w:t>
      </w:r>
      <w:r>
        <w:rPr>
          <w:b/>
          <w:sz w:val="28"/>
          <w:szCs w:val="28"/>
        </w:rPr>
        <w:t>Звіт сервісного інженера.</w:t>
      </w:r>
    </w:p>
    <w:p w:rsidR="00A57074" w:rsidRDefault="00A57074" w:rsidP="00A57074">
      <w:pPr>
        <w:shd w:val="clear" w:color="auto" w:fill="FFFFFF"/>
        <w:rPr>
          <w:color w:val="222222"/>
          <w:u w:val="single"/>
        </w:rPr>
      </w:pPr>
    </w:p>
    <w:p w:rsidR="00A57074" w:rsidRPr="004D5F60" w:rsidRDefault="00A57074" w:rsidP="00A57074">
      <w:pPr>
        <w:shd w:val="clear" w:color="auto" w:fill="FFFFFF"/>
        <w:jc w:val="center"/>
        <w:rPr>
          <w:b/>
          <w:color w:val="222222"/>
        </w:rPr>
      </w:pPr>
      <w:r w:rsidRPr="004D5F60">
        <w:rPr>
          <w:color w:val="222222"/>
          <w:u w:val="single"/>
        </w:rPr>
        <w:t>Місце надання послуг</w:t>
      </w:r>
      <w:r w:rsidRPr="004D5F60">
        <w:rPr>
          <w:color w:val="222222"/>
        </w:rPr>
        <w:t xml:space="preserve">: </w:t>
      </w:r>
      <w:r w:rsidRPr="004D5F60">
        <w:rPr>
          <w:b/>
          <w:color w:val="222222"/>
        </w:rPr>
        <w:t xml:space="preserve">01135, м. Київ, вул. В’ячеслава </w:t>
      </w:r>
      <w:proofErr w:type="spellStart"/>
      <w:r w:rsidRPr="004D5F60">
        <w:rPr>
          <w:b/>
          <w:color w:val="222222"/>
        </w:rPr>
        <w:t>Чорновола</w:t>
      </w:r>
      <w:proofErr w:type="spellEnd"/>
      <w:r w:rsidRPr="004D5F60">
        <w:rPr>
          <w:b/>
          <w:color w:val="222222"/>
        </w:rPr>
        <w:t>, 28/1</w:t>
      </w:r>
    </w:p>
    <w:p w:rsidR="00A57074" w:rsidRDefault="00A57074" w:rsidP="00A57074">
      <w:pPr>
        <w:outlineLvl w:val="0"/>
        <w:rPr>
          <w:b/>
        </w:rPr>
      </w:pPr>
    </w:p>
    <w:p w:rsidR="00A57074" w:rsidRPr="00A61154" w:rsidRDefault="00A57074" w:rsidP="00A57074">
      <w:pPr>
        <w:jc w:val="center"/>
        <w:outlineLvl w:val="0"/>
        <w:rPr>
          <w:b/>
          <w:color w:val="000000"/>
          <w:lang w:eastAsia="ar-S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911"/>
        <w:gridCol w:w="1319"/>
        <w:gridCol w:w="1877"/>
      </w:tblGrid>
      <w:tr w:rsidR="00A57074" w:rsidRPr="00A61154" w:rsidTr="003867B8">
        <w:trPr>
          <w:trHeight w:val="19"/>
          <w:jc w:val="center"/>
        </w:trPr>
        <w:tc>
          <w:tcPr>
            <w:tcW w:w="960" w:type="dxa"/>
            <w:shd w:val="clear" w:color="auto" w:fill="auto"/>
            <w:vAlign w:val="center"/>
          </w:tcPr>
          <w:p w:rsidR="00A57074" w:rsidRPr="00A61154" w:rsidRDefault="00A57074" w:rsidP="003867B8">
            <w:pPr>
              <w:jc w:val="center"/>
              <w:rPr>
                <w:b/>
              </w:rPr>
            </w:pPr>
            <w:r w:rsidRPr="00A61154">
              <w:rPr>
                <w:b/>
              </w:rPr>
              <w:t>№</w:t>
            </w:r>
          </w:p>
          <w:p w:rsidR="00A57074" w:rsidRPr="00A61154" w:rsidRDefault="00A57074" w:rsidP="003867B8">
            <w:pPr>
              <w:jc w:val="center"/>
              <w:rPr>
                <w:b/>
              </w:rPr>
            </w:pPr>
            <w:r w:rsidRPr="00A61154">
              <w:rPr>
                <w:b/>
              </w:rPr>
              <w:t>з/п</w:t>
            </w:r>
          </w:p>
        </w:tc>
        <w:tc>
          <w:tcPr>
            <w:tcW w:w="4911" w:type="dxa"/>
            <w:shd w:val="clear" w:color="auto" w:fill="auto"/>
            <w:vAlign w:val="center"/>
          </w:tcPr>
          <w:p w:rsidR="00A57074" w:rsidRPr="00A61154" w:rsidRDefault="00A57074" w:rsidP="003867B8">
            <w:pPr>
              <w:jc w:val="center"/>
              <w:rPr>
                <w:b/>
              </w:rPr>
            </w:pPr>
            <w:r w:rsidRPr="00A61154">
              <w:rPr>
                <w:b/>
              </w:rPr>
              <w:t>Найменування обладнання</w:t>
            </w:r>
          </w:p>
        </w:tc>
        <w:tc>
          <w:tcPr>
            <w:tcW w:w="1319" w:type="dxa"/>
            <w:shd w:val="clear" w:color="auto" w:fill="auto"/>
            <w:vAlign w:val="center"/>
          </w:tcPr>
          <w:p w:rsidR="00A57074" w:rsidRPr="00A61154" w:rsidRDefault="00A57074" w:rsidP="003867B8">
            <w:pPr>
              <w:jc w:val="center"/>
              <w:rPr>
                <w:b/>
              </w:rPr>
            </w:pPr>
            <w:r w:rsidRPr="00A61154">
              <w:rPr>
                <w:b/>
              </w:rPr>
              <w:t>Кількість шт.</w:t>
            </w:r>
          </w:p>
        </w:tc>
        <w:tc>
          <w:tcPr>
            <w:tcW w:w="1877" w:type="dxa"/>
          </w:tcPr>
          <w:p w:rsidR="00A57074" w:rsidRDefault="00A57074" w:rsidP="003867B8">
            <w:pPr>
              <w:jc w:val="center"/>
              <w:rPr>
                <w:b/>
              </w:rPr>
            </w:pPr>
            <w:r>
              <w:rPr>
                <w:b/>
              </w:rPr>
              <w:t>Серійний номер</w:t>
            </w:r>
          </w:p>
        </w:tc>
      </w:tr>
      <w:tr w:rsidR="00A57074" w:rsidRPr="00A61154" w:rsidTr="003867B8">
        <w:trPr>
          <w:trHeight w:val="19"/>
          <w:jc w:val="center"/>
        </w:trPr>
        <w:tc>
          <w:tcPr>
            <w:tcW w:w="960" w:type="dxa"/>
            <w:shd w:val="clear" w:color="auto" w:fill="auto"/>
            <w:vAlign w:val="center"/>
          </w:tcPr>
          <w:p w:rsidR="00A57074" w:rsidRPr="00A61154" w:rsidRDefault="00A57074" w:rsidP="003867B8">
            <w:pPr>
              <w:jc w:val="center"/>
              <w:rPr>
                <w:b/>
              </w:rPr>
            </w:pPr>
            <w:r w:rsidRPr="00A61154">
              <w:rPr>
                <w:b/>
              </w:rPr>
              <w:t>1</w:t>
            </w:r>
          </w:p>
        </w:tc>
        <w:tc>
          <w:tcPr>
            <w:tcW w:w="4911" w:type="dxa"/>
            <w:shd w:val="clear" w:color="auto" w:fill="auto"/>
            <w:vAlign w:val="center"/>
          </w:tcPr>
          <w:p w:rsidR="00A57074" w:rsidRPr="00A61154" w:rsidRDefault="00A57074" w:rsidP="003867B8">
            <w:pPr>
              <w:rPr>
                <w:b/>
                <w:bCs/>
              </w:rPr>
            </w:pPr>
            <w:r>
              <w:rPr>
                <w:b/>
                <w:bCs/>
              </w:rPr>
              <w:t>Аналізатор</w:t>
            </w:r>
            <w:r w:rsidRPr="008E4D26">
              <w:rPr>
                <w:b/>
                <w:bCs/>
              </w:rPr>
              <w:t xml:space="preserve"> </w:t>
            </w:r>
            <w:bookmarkStart w:id="2" w:name="_Hlk197073004"/>
            <w:proofErr w:type="spellStart"/>
            <w:r>
              <w:rPr>
                <w:b/>
                <w:bCs/>
              </w:rPr>
              <w:t>С</w:t>
            </w:r>
            <w:r w:rsidRPr="008E4D26">
              <w:rPr>
                <w:b/>
                <w:bCs/>
              </w:rPr>
              <w:t>obas</w:t>
            </w:r>
            <w:proofErr w:type="spellEnd"/>
            <w:r w:rsidRPr="008E4D26">
              <w:rPr>
                <w:b/>
                <w:bCs/>
              </w:rPr>
              <w:t xml:space="preserve"> е411</w:t>
            </w:r>
            <w:bookmarkEnd w:id="2"/>
          </w:p>
        </w:tc>
        <w:tc>
          <w:tcPr>
            <w:tcW w:w="1319" w:type="dxa"/>
            <w:shd w:val="clear" w:color="auto" w:fill="auto"/>
            <w:vAlign w:val="center"/>
          </w:tcPr>
          <w:p w:rsidR="00A57074" w:rsidRPr="00A61154" w:rsidRDefault="00A57074" w:rsidP="003867B8">
            <w:pPr>
              <w:jc w:val="center"/>
              <w:rPr>
                <w:b/>
              </w:rPr>
            </w:pPr>
            <w:r>
              <w:rPr>
                <w:b/>
              </w:rPr>
              <w:t>1</w:t>
            </w:r>
          </w:p>
        </w:tc>
        <w:tc>
          <w:tcPr>
            <w:tcW w:w="1877" w:type="dxa"/>
          </w:tcPr>
          <w:p w:rsidR="00A57074" w:rsidRPr="007B2676" w:rsidRDefault="00A57074" w:rsidP="003867B8">
            <w:pPr>
              <w:jc w:val="center"/>
              <w:rPr>
                <w:b/>
              </w:rPr>
            </w:pPr>
            <w:r w:rsidRPr="008E4D26">
              <w:rPr>
                <w:b/>
              </w:rPr>
              <w:t>0727-05</w:t>
            </w:r>
          </w:p>
        </w:tc>
      </w:tr>
      <w:tr w:rsidR="00A57074" w:rsidRPr="00A61154" w:rsidTr="003867B8">
        <w:trPr>
          <w:trHeight w:val="19"/>
          <w:jc w:val="center"/>
        </w:trPr>
        <w:tc>
          <w:tcPr>
            <w:tcW w:w="960" w:type="dxa"/>
            <w:shd w:val="clear" w:color="auto" w:fill="auto"/>
            <w:vAlign w:val="center"/>
          </w:tcPr>
          <w:p w:rsidR="00A57074" w:rsidRPr="007C0072" w:rsidRDefault="00A57074" w:rsidP="003867B8">
            <w:pPr>
              <w:jc w:val="center"/>
              <w:rPr>
                <w:b/>
              </w:rPr>
            </w:pPr>
            <w:r w:rsidRPr="007C0072">
              <w:rPr>
                <w:b/>
              </w:rPr>
              <w:t>2</w:t>
            </w:r>
          </w:p>
        </w:tc>
        <w:tc>
          <w:tcPr>
            <w:tcW w:w="4911" w:type="dxa"/>
            <w:shd w:val="clear" w:color="auto" w:fill="auto"/>
            <w:vAlign w:val="center"/>
          </w:tcPr>
          <w:p w:rsidR="00A57074" w:rsidRPr="007C0072" w:rsidRDefault="00A57074" w:rsidP="003867B8">
            <w:pPr>
              <w:rPr>
                <w:b/>
                <w:bCs/>
              </w:rPr>
            </w:pPr>
            <w:r>
              <w:rPr>
                <w:b/>
                <w:bCs/>
              </w:rPr>
              <w:t>Аналізатор</w:t>
            </w:r>
            <w:r w:rsidRPr="008E4D26">
              <w:rPr>
                <w:b/>
                <w:bCs/>
              </w:rPr>
              <w:t xml:space="preserve"> </w:t>
            </w:r>
            <w:proofErr w:type="spellStart"/>
            <w:r>
              <w:rPr>
                <w:b/>
                <w:bCs/>
              </w:rPr>
              <w:t>С</w:t>
            </w:r>
            <w:r w:rsidRPr="008E4D26">
              <w:rPr>
                <w:b/>
                <w:bCs/>
              </w:rPr>
              <w:t>obas</w:t>
            </w:r>
            <w:proofErr w:type="spellEnd"/>
            <w:r w:rsidRPr="008E4D26">
              <w:rPr>
                <w:b/>
                <w:bCs/>
              </w:rPr>
              <w:t xml:space="preserve"> е411</w:t>
            </w:r>
          </w:p>
        </w:tc>
        <w:tc>
          <w:tcPr>
            <w:tcW w:w="1319" w:type="dxa"/>
            <w:shd w:val="clear" w:color="auto" w:fill="auto"/>
            <w:vAlign w:val="center"/>
          </w:tcPr>
          <w:p w:rsidR="00A57074" w:rsidRPr="007C0072" w:rsidRDefault="00A57074" w:rsidP="003867B8">
            <w:pPr>
              <w:jc w:val="center"/>
              <w:rPr>
                <w:b/>
              </w:rPr>
            </w:pPr>
            <w:r w:rsidRPr="007C0072">
              <w:rPr>
                <w:b/>
              </w:rPr>
              <w:t>1</w:t>
            </w:r>
          </w:p>
        </w:tc>
        <w:tc>
          <w:tcPr>
            <w:tcW w:w="1877" w:type="dxa"/>
          </w:tcPr>
          <w:p w:rsidR="00A57074" w:rsidRPr="007C0072" w:rsidRDefault="00A57074" w:rsidP="003867B8">
            <w:pPr>
              <w:jc w:val="center"/>
              <w:rPr>
                <w:b/>
              </w:rPr>
            </w:pPr>
            <w:r w:rsidRPr="008E4D26">
              <w:rPr>
                <w:b/>
              </w:rPr>
              <w:t>1058-04</w:t>
            </w:r>
          </w:p>
        </w:tc>
      </w:tr>
    </w:tbl>
    <w:p w:rsidR="00A57074" w:rsidRPr="00A61154" w:rsidRDefault="00A57074" w:rsidP="00A57074">
      <w:pPr>
        <w:rPr>
          <w:b/>
        </w:rPr>
      </w:pPr>
    </w:p>
    <w:p w:rsidR="00A57074" w:rsidRDefault="00A57074" w:rsidP="00A57074">
      <w:pPr>
        <w:tabs>
          <w:tab w:val="left" w:pos="9160"/>
        </w:tabs>
        <w:jc w:val="center"/>
        <w:rPr>
          <w:b/>
        </w:rPr>
      </w:pPr>
      <w:bookmarkStart w:id="3" w:name="_Hlk134429130"/>
      <w:r>
        <w:rPr>
          <w:b/>
        </w:rPr>
        <w:t>Т</w:t>
      </w:r>
      <w:r w:rsidRPr="00A61154">
        <w:rPr>
          <w:b/>
        </w:rPr>
        <w:t xml:space="preserve">ехнічне обслуговування </w:t>
      </w:r>
      <w:r>
        <w:rPr>
          <w:b/>
        </w:rPr>
        <w:t xml:space="preserve">обладнання </w:t>
      </w:r>
      <w:r w:rsidRPr="00A61154">
        <w:rPr>
          <w:b/>
          <w:bCs/>
        </w:rPr>
        <w:t>в</w:t>
      </w:r>
      <w:r w:rsidRPr="00A61154">
        <w:rPr>
          <w:b/>
        </w:rPr>
        <w:t>ключає в себе:</w:t>
      </w:r>
    </w:p>
    <w:p w:rsidR="00A57074" w:rsidRDefault="00A57074" w:rsidP="00A57074">
      <w:pPr>
        <w:tabs>
          <w:tab w:val="left" w:pos="9160"/>
        </w:tabs>
        <w:jc w:val="center"/>
        <w:rPr>
          <w:b/>
        </w:rPr>
      </w:pPr>
    </w:p>
    <w:p w:rsidR="00A57074" w:rsidRDefault="00A57074" w:rsidP="00A57074">
      <w:pPr>
        <w:rPr>
          <w:b/>
          <w:lang w:val="ru-RU"/>
        </w:rPr>
      </w:pPr>
      <w:r>
        <w:rPr>
          <w:b/>
          <w:bCs/>
        </w:rPr>
        <w:t>Аналізатор</w:t>
      </w:r>
      <w:r w:rsidRPr="008E4D26">
        <w:rPr>
          <w:b/>
          <w:bCs/>
        </w:rPr>
        <w:t xml:space="preserve"> </w:t>
      </w:r>
      <w:proofErr w:type="spellStart"/>
      <w:r>
        <w:rPr>
          <w:b/>
          <w:bCs/>
        </w:rPr>
        <w:t>с</w:t>
      </w:r>
      <w:r w:rsidRPr="008E4D26">
        <w:rPr>
          <w:b/>
          <w:bCs/>
        </w:rPr>
        <w:t>obas</w:t>
      </w:r>
      <w:proofErr w:type="spellEnd"/>
      <w:r w:rsidRPr="008E4D26">
        <w:rPr>
          <w:b/>
          <w:bCs/>
        </w:rPr>
        <w:t xml:space="preserve"> е411</w:t>
      </w:r>
      <w:r>
        <w:rPr>
          <w:b/>
          <w:bCs/>
        </w:rPr>
        <w:t xml:space="preserve">( серійний номер </w:t>
      </w:r>
      <w:r w:rsidRPr="008E4D26">
        <w:rPr>
          <w:b/>
        </w:rPr>
        <w:t>0727-05</w:t>
      </w:r>
      <w:r>
        <w:rPr>
          <w:b/>
        </w:rPr>
        <w:t>)</w:t>
      </w:r>
    </w:p>
    <w:p w:rsidR="00A57074" w:rsidRPr="00D533B4" w:rsidRDefault="00A57074" w:rsidP="00A57074">
      <w:pPr>
        <w:rPr>
          <w:b/>
          <w:lang w:val="ru-RU"/>
        </w:rPr>
      </w:pPr>
    </w:p>
    <w:tbl>
      <w:tblPr>
        <w:tblW w:w="9165" w:type="dxa"/>
        <w:tblInd w:w="-5" w:type="dxa"/>
        <w:tblLook w:val="04A0" w:firstRow="1" w:lastRow="0" w:firstColumn="1" w:lastColumn="0" w:noHBand="0" w:noVBand="1"/>
      </w:tblPr>
      <w:tblGrid>
        <w:gridCol w:w="426"/>
        <w:gridCol w:w="6945"/>
        <w:gridCol w:w="1234"/>
        <w:gridCol w:w="560"/>
      </w:tblGrid>
      <w:tr w:rsidR="00A57074" w:rsidRPr="000C15FC" w:rsidTr="003867B8">
        <w:trPr>
          <w:trHeight w:val="900"/>
        </w:trPr>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rPr>
                <w:color w:val="000000"/>
                <w:sz w:val="22"/>
                <w:szCs w:val="22"/>
              </w:rPr>
            </w:pPr>
            <w:r w:rsidRPr="000C15FC">
              <w:rPr>
                <w:color w:val="000000"/>
                <w:sz w:val="22"/>
                <w:szCs w:val="22"/>
              </w:rPr>
              <w:t>№</w:t>
            </w:r>
          </w:p>
        </w:tc>
        <w:tc>
          <w:tcPr>
            <w:tcW w:w="6945" w:type="dxa"/>
            <w:tcBorders>
              <w:top w:val="single" w:sz="4" w:space="0" w:color="000000"/>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Найменування   послуг</w:t>
            </w:r>
          </w:p>
        </w:tc>
        <w:tc>
          <w:tcPr>
            <w:tcW w:w="1234" w:type="dxa"/>
            <w:tcBorders>
              <w:top w:val="single" w:sz="4" w:space="0" w:color="000000"/>
              <w:left w:val="nil"/>
              <w:bottom w:val="single" w:sz="4" w:space="0" w:color="000000"/>
              <w:right w:val="single" w:sz="4" w:space="0" w:color="000000"/>
            </w:tcBorders>
            <w:shd w:val="clear" w:color="auto" w:fill="auto"/>
            <w:vAlign w:val="center"/>
            <w:hideMark/>
          </w:tcPr>
          <w:p w:rsidR="00A57074" w:rsidRPr="000C15FC" w:rsidRDefault="00A57074" w:rsidP="003867B8">
            <w:pPr>
              <w:jc w:val="center"/>
              <w:rPr>
                <w:color w:val="000000"/>
                <w:sz w:val="22"/>
                <w:szCs w:val="22"/>
              </w:rPr>
            </w:pPr>
            <w:r w:rsidRPr="000C15FC">
              <w:rPr>
                <w:color w:val="000000"/>
                <w:sz w:val="22"/>
                <w:szCs w:val="22"/>
              </w:rPr>
              <w:t xml:space="preserve">Од. </w:t>
            </w:r>
            <w:proofErr w:type="spellStart"/>
            <w:r w:rsidRPr="000C15FC">
              <w:rPr>
                <w:color w:val="000000"/>
                <w:sz w:val="22"/>
                <w:szCs w:val="22"/>
              </w:rPr>
              <w:t>вим</w:t>
            </w:r>
            <w:proofErr w:type="spellEnd"/>
            <w:r w:rsidRPr="000C15FC">
              <w:rPr>
                <w:color w:val="000000"/>
                <w:sz w:val="22"/>
                <w:szCs w:val="22"/>
              </w:rPr>
              <w:t>.</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A57074" w:rsidRPr="000C15FC" w:rsidRDefault="00A57074" w:rsidP="003867B8">
            <w:pPr>
              <w:rPr>
                <w:color w:val="000000"/>
                <w:sz w:val="22"/>
                <w:szCs w:val="22"/>
              </w:rPr>
            </w:pPr>
            <w:r w:rsidRPr="000C15FC">
              <w:rPr>
                <w:color w:val="000000"/>
                <w:sz w:val="22"/>
                <w:szCs w:val="22"/>
              </w:rPr>
              <w:t>К-ть</w:t>
            </w:r>
          </w:p>
        </w:tc>
      </w:tr>
      <w:tr w:rsidR="00A57074" w:rsidRPr="000C15FC" w:rsidTr="003867B8">
        <w:trPr>
          <w:trHeight w:val="300"/>
        </w:trPr>
        <w:tc>
          <w:tcPr>
            <w:tcW w:w="426" w:type="dxa"/>
            <w:tcBorders>
              <w:top w:val="nil"/>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1</w:t>
            </w:r>
          </w:p>
        </w:tc>
        <w:tc>
          <w:tcPr>
            <w:tcW w:w="6945" w:type="dxa"/>
            <w:tcBorders>
              <w:top w:val="nil"/>
              <w:left w:val="nil"/>
              <w:bottom w:val="single" w:sz="4" w:space="0" w:color="000000"/>
              <w:right w:val="single" w:sz="4" w:space="0" w:color="000000"/>
            </w:tcBorders>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 xml:space="preserve">Розбірка аналізатору </w:t>
            </w:r>
            <w:proofErr w:type="spellStart"/>
            <w:r w:rsidRPr="000C15FC">
              <w:rPr>
                <w:color w:val="000000"/>
                <w:sz w:val="22"/>
                <w:szCs w:val="22"/>
              </w:rPr>
              <w:t>Cobas</w:t>
            </w:r>
            <w:proofErr w:type="spellEnd"/>
            <w:r w:rsidRPr="000C15FC">
              <w:rPr>
                <w:color w:val="000000"/>
                <w:sz w:val="22"/>
                <w:szCs w:val="22"/>
              </w:rPr>
              <w:t xml:space="preserve"> е411</w:t>
            </w:r>
          </w:p>
        </w:tc>
        <w:tc>
          <w:tcPr>
            <w:tcW w:w="1234"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300"/>
        </w:trPr>
        <w:tc>
          <w:tcPr>
            <w:tcW w:w="426" w:type="dxa"/>
            <w:tcBorders>
              <w:top w:val="nil"/>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2</w:t>
            </w:r>
          </w:p>
        </w:tc>
        <w:tc>
          <w:tcPr>
            <w:tcW w:w="6945" w:type="dxa"/>
            <w:tcBorders>
              <w:top w:val="nil"/>
              <w:left w:val="nil"/>
              <w:bottom w:val="single" w:sz="4" w:space="0" w:color="000000"/>
              <w:right w:val="single" w:sz="4" w:space="0" w:color="000000"/>
            </w:tcBorders>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Чистка всіх механізмів та їх змащування</w:t>
            </w:r>
          </w:p>
        </w:tc>
        <w:tc>
          <w:tcPr>
            <w:tcW w:w="1234"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780"/>
        </w:trPr>
        <w:tc>
          <w:tcPr>
            <w:tcW w:w="426" w:type="dxa"/>
            <w:tcBorders>
              <w:top w:val="nil"/>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3</w:t>
            </w:r>
          </w:p>
        </w:tc>
        <w:tc>
          <w:tcPr>
            <w:tcW w:w="6945" w:type="dxa"/>
            <w:tcBorders>
              <w:top w:val="nil"/>
              <w:left w:val="nil"/>
              <w:bottom w:val="single" w:sz="4" w:space="0" w:color="000000"/>
              <w:right w:val="single" w:sz="4" w:space="0" w:color="000000"/>
            </w:tcBorders>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 xml:space="preserve">Заміна рідинних трубок і ущільнювачів модулів </w:t>
            </w:r>
            <w:proofErr w:type="spellStart"/>
            <w:r w:rsidRPr="000C15FC">
              <w:rPr>
                <w:color w:val="000000"/>
                <w:sz w:val="22"/>
                <w:szCs w:val="22"/>
              </w:rPr>
              <w:t>піпетування</w:t>
            </w:r>
            <w:proofErr w:type="spellEnd"/>
            <w:r w:rsidRPr="000C15FC">
              <w:rPr>
                <w:color w:val="000000"/>
                <w:sz w:val="22"/>
                <w:szCs w:val="22"/>
              </w:rPr>
              <w:t>, аспірації та модуля шприців з допомогою набору для сервісного обслуговування 12 міс.</w:t>
            </w:r>
          </w:p>
        </w:tc>
        <w:tc>
          <w:tcPr>
            <w:tcW w:w="1234"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497"/>
        </w:trPr>
        <w:tc>
          <w:tcPr>
            <w:tcW w:w="426" w:type="dxa"/>
            <w:tcBorders>
              <w:top w:val="nil"/>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4</w:t>
            </w:r>
          </w:p>
        </w:tc>
        <w:tc>
          <w:tcPr>
            <w:tcW w:w="6945" w:type="dxa"/>
            <w:tcBorders>
              <w:top w:val="nil"/>
              <w:left w:val="nil"/>
              <w:bottom w:val="single" w:sz="4" w:space="0" w:color="000000"/>
              <w:right w:val="single" w:sz="4" w:space="0" w:color="000000"/>
            </w:tcBorders>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Перевірка та налаштування всіх рухомих механізмів та функції виявлення рідини з допомогою набору для сервісного обслуговування 6 міс.</w:t>
            </w:r>
          </w:p>
        </w:tc>
        <w:tc>
          <w:tcPr>
            <w:tcW w:w="1234"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300"/>
        </w:trPr>
        <w:tc>
          <w:tcPr>
            <w:tcW w:w="426" w:type="dxa"/>
            <w:tcBorders>
              <w:top w:val="nil"/>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5</w:t>
            </w:r>
          </w:p>
        </w:tc>
        <w:tc>
          <w:tcPr>
            <w:tcW w:w="6945" w:type="dxa"/>
            <w:tcBorders>
              <w:top w:val="nil"/>
              <w:left w:val="nil"/>
              <w:bottom w:val="single" w:sz="4" w:space="0" w:color="000000"/>
              <w:right w:val="single" w:sz="4" w:space="0" w:color="000000"/>
            </w:tcBorders>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 xml:space="preserve">Заміна детекторного блоку </w:t>
            </w:r>
          </w:p>
        </w:tc>
        <w:tc>
          <w:tcPr>
            <w:tcW w:w="1234"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405"/>
        </w:trPr>
        <w:tc>
          <w:tcPr>
            <w:tcW w:w="426" w:type="dxa"/>
            <w:tcBorders>
              <w:top w:val="nil"/>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6</w:t>
            </w:r>
          </w:p>
        </w:tc>
        <w:tc>
          <w:tcPr>
            <w:tcW w:w="6945" w:type="dxa"/>
            <w:tcBorders>
              <w:top w:val="nil"/>
              <w:left w:val="nil"/>
              <w:bottom w:val="single" w:sz="4" w:space="0" w:color="000000"/>
              <w:right w:val="single" w:sz="4" w:space="0" w:color="000000"/>
            </w:tcBorders>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 xml:space="preserve">Заміна карти пам’яті ТS4 GCF180 </w:t>
            </w:r>
          </w:p>
        </w:tc>
        <w:tc>
          <w:tcPr>
            <w:tcW w:w="1234"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300"/>
        </w:trPr>
        <w:tc>
          <w:tcPr>
            <w:tcW w:w="426" w:type="dxa"/>
            <w:tcBorders>
              <w:top w:val="nil"/>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7</w:t>
            </w:r>
          </w:p>
        </w:tc>
        <w:tc>
          <w:tcPr>
            <w:tcW w:w="6945" w:type="dxa"/>
            <w:tcBorders>
              <w:top w:val="nil"/>
              <w:left w:val="nil"/>
              <w:bottom w:val="single" w:sz="4" w:space="0" w:color="000000"/>
              <w:right w:val="single" w:sz="4" w:space="0" w:color="000000"/>
            </w:tcBorders>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Проведення сервісних перевірочних тестів</w:t>
            </w:r>
          </w:p>
        </w:tc>
        <w:tc>
          <w:tcPr>
            <w:tcW w:w="1234"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311"/>
        </w:trPr>
        <w:tc>
          <w:tcPr>
            <w:tcW w:w="426" w:type="dxa"/>
            <w:tcBorders>
              <w:top w:val="nil"/>
              <w:left w:val="single" w:sz="4" w:space="0" w:color="000000"/>
              <w:bottom w:val="single" w:sz="4" w:space="0" w:color="000000"/>
              <w:right w:val="single" w:sz="4" w:space="0" w:color="000000"/>
            </w:tcBorders>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8</w:t>
            </w:r>
          </w:p>
        </w:tc>
        <w:tc>
          <w:tcPr>
            <w:tcW w:w="6945" w:type="dxa"/>
            <w:tcBorders>
              <w:top w:val="nil"/>
              <w:left w:val="nil"/>
              <w:bottom w:val="single" w:sz="4" w:space="0" w:color="000000"/>
              <w:right w:val="single" w:sz="4" w:space="0" w:color="000000"/>
            </w:tcBorders>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Збірка аналізатор</w:t>
            </w:r>
            <w:r>
              <w:rPr>
                <w:color w:val="000000"/>
                <w:sz w:val="22"/>
                <w:szCs w:val="22"/>
              </w:rPr>
              <w:t>а</w:t>
            </w:r>
          </w:p>
        </w:tc>
        <w:tc>
          <w:tcPr>
            <w:tcW w:w="1234"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tcBorders>
              <w:top w:val="nil"/>
              <w:left w:val="nil"/>
              <w:bottom w:val="single" w:sz="4" w:space="0" w:color="000000"/>
              <w:right w:val="single" w:sz="4" w:space="0" w:color="000000"/>
            </w:tcBorders>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bl>
    <w:p w:rsidR="00A57074" w:rsidRPr="000C15FC" w:rsidRDefault="00A57074" w:rsidP="00A57074">
      <w:pPr>
        <w:tabs>
          <w:tab w:val="left" w:pos="9160"/>
        </w:tabs>
        <w:jc w:val="center"/>
        <w:rPr>
          <w:b/>
        </w:rPr>
      </w:pPr>
    </w:p>
    <w:p w:rsidR="00A57074" w:rsidRPr="000C15FC" w:rsidRDefault="00A57074" w:rsidP="00A57074">
      <w:pPr>
        <w:tabs>
          <w:tab w:val="left" w:pos="9160"/>
        </w:tabs>
        <w:jc w:val="center"/>
        <w:rPr>
          <w:b/>
        </w:rPr>
      </w:pPr>
    </w:p>
    <w:bookmarkEnd w:id="3"/>
    <w:p w:rsidR="00A57074" w:rsidRPr="000C15FC" w:rsidRDefault="00A57074" w:rsidP="00A57074">
      <w:pPr>
        <w:widowControl w:val="0"/>
        <w:tabs>
          <w:tab w:val="left" w:pos="4860"/>
        </w:tabs>
        <w:autoSpaceDE w:val="0"/>
        <w:autoSpaceDN w:val="0"/>
        <w:adjustRightInd w:val="0"/>
        <w:jc w:val="both"/>
        <w:rPr>
          <w:b/>
        </w:rPr>
      </w:pPr>
      <w:r w:rsidRPr="000C15FC">
        <w:rPr>
          <w:b/>
          <w:bCs/>
        </w:rPr>
        <w:t xml:space="preserve">Аналізатор </w:t>
      </w:r>
      <w:proofErr w:type="spellStart"/>
      <w:r w:rsidRPr="000C15FC">
        <w:rPr>
          <w:b/>
          <w:bCs/>
        </w:rPr>
        <w:t>сobas</w:t>
      </w:r>
      <w:proofErr w:type="spellEnd"/>
      <w:r w:rsidRPr="000C15FC">
        <w:rPr>
          <w:b/>
          <w:bCs/>
        </w:rPr>
        <w:t xml:space="preserve"> е411( серійний номер </w:t>
      </w:r>
      <w:r w:rsidRPr="000C15FC">
        <w:rPr>
          <w:b/>
        </w:rPr>
        <w:t>1058-04)</w:t>
      </w:r>
    </w:p>
    <w:p w:rsidR="00A57074" w:rsidRPr="000C15FC" w:rsidRDefault="00A57074" w:rsidP="00A57074">
      <w:pPr>
        <w:widowControl w:val="0"/>
        <w:tabs>
          <w:tab w:val="left" w:pos="4860"/>
        </w:tabs>
        <w:autoSpaceDE w:val="0"/>
        <w:autoSpaceDN w:val="0"/>
        <w:adjustRightInd w:val="0"/>
        <w:jc w:val="both"/>
        <w:rPr>
          <w:b/>
        </w:rPr>
      </w:pPr>
    </w:p>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229"/>
        <w:gridCol w:w="950"/>
        <w:gridCol w:w="560"/>
      </w:tblGrid>
      <w:tr w:rsidR="00A57074" w:rsidRPr="000C15FC" w:rsidTr="003867B8">
        <w:trPr>
          <w:trHeight w:val="693"/>
        </w:trPr>
        <w:tc>
          <w:tcPr>
            <w:tcW w:w="426" w:type="dxa"/>
            <w:shd w:val="clear" w:color="auto" w:fill="auto"/>
            <w:noWrap/>
            <w:vAlign w:val="bottom"/>
            <w:hideMark/>
          </w:tcPr>
          <w:p w:rsidR="00A57074" w:rsidRPr="000C15FC" w:rsidRDefault="00A57074" w:rsidP="003867B8">
            <w:pPr>
              <w:rPr>
                <w:color w:val="000000"/>
                <w:sz w:val="22"/>
                <w:szCs w:val="22"/>
              </w:rPr>
            </w:pPr>
            <w:r w:rsidRPr="000C15FC">
              <w:rPr>
                <w:color w:val="000000"/>
                <w:sz w:val="22"/>
                <w:szCs w:val="22"/>
              </w:rPr>
              <w:t>№</w:t>
            </w:r>
          </w:p>
        </w:tc>
        <w:tc>
          <w:tcPr>
            <w:tcW w:w="7229"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Найменування послуг</w:t>
            </w:r>
          </w:p>
        </w:tc>
        <w:tc>
          <w:tcPr>
            <w:tcW w:w="950" w:type="dxa"/>
            <w:shd w:val="clear" w:color="auto" w:fill="auto"/>
            <w:vAlign w:val="center"/>
            <w:hideMark/>
          </w:tcPr>
          <w:p w:rsidR="00A57074" w:rsidRPr="000C15FC" w:rsidRDefault="00A57074" w:rsidP="003867B8">
            <w:pPr>
              <w:jc w:val="center"/>
              <w:rPr>
                <w:color w:val="000000"/>
                <w:sz w:val="22"/>
                <w:szCs w:val="22"/>
              </w:rPr>
            </w:pPr>
            <w:r w:rsidRPr="000C15FC">
              <w:rPr>
                <w:color w:val="000000"/>
                <w:sz w:val="22"/>
                <w:szCs w:val="22"/>
              </w:rPr>
              <w:t xml:space="preserve">Од. </w:t>
            </w:r>
            <w:proofErr w:type="spellStart"/>
            <w:r w:rsidRPr="000C15FC">
              <w:rPr>
                <w:color w:val="000000"/>
                <w:sz w:val="22"/>
                <w:szCs w:val="22"/>
              </w:rPr>
              <w:t>вим</w:t>
            </w:r>
            <w:proofErr w:type="spellEnd"/>
            <w:r w:rsidRPr="000C15FC">
              <w:rPr>
                <w:color w:val="000000"/>
                <w:sz w:val="22"/>
                <w:szCs w:val="22"/>
              </w:rPr>
              <w:t>.</w:t>
            </w:r>
          </w:p>
        </w:tc>
        <w:tc>
          <w:tcPr>
            <w:tcW w:w="560" w:type="dxa"/>
            <w:shd w:val="clear" w:color="auto" w:fill="auto"/>
            <w:vAlign w:val="center"/>
            <w:hideMark/>
          </w:tcPr>
          <w:p w:rsidR="00A57074" w:rsidRPr="000C15FC" w:rsidRDefault="00A57074" w:rsidP="003867B8">
            <w:pPr>
              <w:rPr>
                <w:color w:val="000000"/>
                <w:sz w:val="22"/>
                <w:szCs w:val="22"/>
              </w:rPr>
            </w:pPr>
            <w:r w:rsidRPr="000C15FC">
              <w:rPr>
                <w:color w:val="000000"/>
                <w:sz w:val="22"/>
                <w:szCs w:val="22"/>
              </w:rPr>
              <w:t>К-ть</w:t>
            </w:r>
          </w:p>
        </w:tc>
      </w:tr>
      <w:tr w:rsidR="00A57074" w:rsidRPr="000C15FC" w:rsidTr="003867B8">
        <w:trPr>
          <w:trHeight w:val="300"/>
        </w:trPr>
        <w:tc>
          <w:tcPr>
            <w:tcW w:w="426" w:type="dxa"/>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1</w:t>
            </w:r>
          </w:p>
        </w:tc>
        <w:tc>
          <w:tcPr>
            <w:tcW w:w="7229" w:type="dxa"/>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 xml:space="preserve">Розбірка аналізатору </w:t>
            </w:r>
            <w:proofErr w:type="spellStart"/>
            <w:r w:rsidRPr="000C15FC">
              <w:rPr>
                <w:color w:val="000000"/>
                <w:sz w:val="22"/>
                <w:szCs w:val="22"/>
              </w:rPr>
              <w:t>Cobas</w:t>
            </w:r>
            <w:proofErr w:type="spellEnd"/>
            <w:r w:rsidRPr="000C15FC">
              <w:rPr>
                <w:color w:val="000000"/>
                <w:sz w:val="22"/>
                <w:szCs w:val="22"/>
              </w:rPr>
              <w:t xml:space="preserve"> е411</w:t>
            </w:r>
          </w:p>
        </w:tc>
        <w:tc>
          <w:tcPr>
            <w:tcW w:w="95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300"/>
        </w:trPr>
        <w:tc>
          <w:tcPr>
            <w:tcW w:w="426" w:type="dxa"/>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2</w:t>
            </w:r>
          </w:p>
        </w:tc>
        <w:tc>
          <w:tcPr>
            <w:tcW w:w="7229" w:type="dxa"/>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Чистка всіх механізмів та їх змащування</w:t>
            </w:r>
          </w:p>
        </w:tc>
        <w:tc>
          <w:tcPr>
            <w:tcW w:w="95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300"/>
        </w:trPr>
        <w:tc>
          <w:tcPr>
            <w:tcW w:w="426" w:type="dxa"/>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3</w:t>
            </w:r>
          </w:p>
        </w:tc>
        <w:tc>
          <w:tcPr>
            <w:tcW w:w="7229" w:type="dxa"/>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Заміна шлейфу FPC C11</w:t>
            </w:r>
          </w:p>
        </w:tc>
        <w:tc>
          <w:tcPr>
            <w:tcW w:w="95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617"/>
        </w:trPr>
        <w:tc>
          <w:tcPr>
            <w:tcW w:w="426" w:type="dxa"/>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4</w:t>
            </w:r>
          </w:p>
        </w:tc>
        <w:tc>
          <w:tcPr>
            <w:tcW w:w="7229" w:type="dxa"/>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Перевірка та налаштування всіх рухомих механізмів та функції виявлення рідини з допомогою набору для сервісного обслуговування 6 міс.</w:t>
            </w:r>
          </w:p>
        </w:tc>
        <w:tc>
          <w:tcPr>
            <w:tcW w:w="95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315"/>
        </w:trPr>
        <w:tc>
          <w:tcPr>
            <w:tcW w:w="426" w:type="dxa"/>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5</w:t>
            </w:r>
          </w:p>
        </w:tc>
        <w:tc>
          <w:tcPr>
            <w:tcW w:w="7229" w:type="dxa"/>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Проведення сервісних перевірочних тестів</w:t>
            </w:r>
          </w:p>
        </w:tc>
        <w:tc>
          <w:tcPr>
            <w:tcW w:w="95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r w:rsidR="00A57074" w:rsidRPr="000C15FC" w:rsidTr="003867B8">
        <w:trPr>
          <w:trHeight w:val="315"/>
        </w:trPr>
        <w:tc>
          <w:tcPr>
            <w:tcW w:w="426" w:type="dxa"/>
            <w:shd w:val="clear" w:color="auto" w:fill="auto"/>
            <w:noWrap/>
            <w:vAlign w:val="bottom"/>
            <w:hideMark/>
          </w:tcPr>
          <w:p w:rsidR="00A57074" w:rsidRPr="000C15FC" w:rsidRDefault="00A57074" w:rsidP="003867B8">
            <w:pPr>
              <w:jc w:val="right"/>
              <w:rPr>
                <w:color w:val="000000"/>
                <w:sz w:val="22"/>
                <w:szCs w:val="22"/>
              </w:rPr>
            </w:pPr>
            <w:r w:rsidRPr="000C15FC">
              <w:rPr>
                <w:color w:val="000000"/>
                <w:sz w:val="22"/>
                <w:szCs w:val="22"/>
              </w:rPr>
              <w:t>6</w:t>
            </w:r>
          </w:p>
        </w:tc>
        <w:tc>
          <w:tcPr>
            <w:tcW w:w="7229" w:type="dxa"/>
            <w:shd w:val="clear" w:color="auto" w:fill="auto"/>
            <w:vAlign w:val="bottom"/>
            <w:hideMark/>
          </w:tcPr>
          <w:p w:rsidR="00A57074" w:rsidRPr="000C15FC" w:rsidRDefault="00A57074" w:rsidP="003867B8">
            <w:pPr>
              <w:rPr>
                <w:color w:val="000000"/>
                <w:sz w:val="22"/>
                <w:szCs w:val="22"/>
              </w:rPr>
            </w:pPr>
            <w:r w:rsidRPr="000C15FC">
              <w:rPr>
                <w:color w:val="000000"/>
                <w:sz w:val="22"/>
                <w:szCs w:val="22"/>
              </w:rPr>
              <w:t>Збірка аналізатору</w:t>
            </w:r>
          </w:p>
        </w:tc>
        <w:tc>
          <w:tcPr>
            <w:tcW w:w="95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послуга</w:t>
            </w:r>
          </w:p>
        </w:tc>
        <w:tc>
          <w:tcPr>
            <w:tcW w:w="560" w:type="dxa"/>
            <w:shd w:val="clear" w:color="auto" w:fill="auto"/>
            <w:noWrap/>
            <w:vAlign w:val="center"/>
            <w:hideMark/>
          </w:tcPr>
          <w:p w:rsidR="00A57074" w:rsidRPr="000C15FC" w:rsidRDefault="00A57074" w:rsidP="003867B8">
            <w:pPr>
              <w:jc w:val="center"/>
              <w:rPr>
                <w:color w:val="000000"/>
                <w:sz w:val="22"/>
                <w:szCs w:val="22"/>
              </w:rPr>
            </w:pPr>
            <w:r w:rsidRPr="000C15FC">
              <w:rPr>
                <w:color w:val="000000"/>
                <w:sz w:val="22"/>
                <w:szCs w:val="22"/>
              </w:rPr>
              <w:t>1</w:t>
            </w:r>
          </w:p>
        </w:tc>
      </w:tr>
    </w:tbl>
    <w:p w:rsidR="00A57074" w:rsidRPr="000C15FC" w:rsidRDefault="00A57074" w:rsidP="00A57074">
      <w:pPr>
        <w:widowControl w:val="0"/>
        <w:tabs>
          <w:tab w:val="left" w:pos="4860"/>
        </w:tabs>
        <w:autoSpaceDE w:val="0"/>
        <w:autoSpaceDN w:val="0"/>
        <w:adjustRightInd w:val="0"/>
        <w:jc w:val="both"/>
        <w:rPr>
          <w:b/>
        </w:rPr>
      </w:pPr>
    </w:p>
    <w:p w:rsidR="00A57074" w:rsidRPr="00A61154" w:rsidRDefault="00A57074" w:rsidP="00A57074">
      <w:pPr>
        <w:widowControl w:val="0"/>
        <w:tabs>
          <w:tab w:val="left" w:pos="4860"/>
        </w:tabs>
        <w:autoSpaceDE w:val="0"/>
        <w:autoSpaceDN w:val="0"/>
        <w:adjustRightInd w:val="0"/>
        <w:jc w:val="both"/>
        <w:rPr>
          <w:b/>
          <w:u w:val="single"/>
        </w:rPr>
      </w:pPr>
    </w:p>
    <w:p w:rsidR="00A57074" w:rsidRPr="00A61154" w:rsidRDefault="00A57074" w:rsidP="00A57074">
      <w:pPr>
        <w:widowControl w:val="0"/>
        <w:tabs>
          <w:tab w:val="left" w:pos="4860"/>
        </w:tabs>
        <w:autoSpaceDE w:val="0"/>
        <w:autoSpaceDN w:val="0"/>
        <w:adjustRightInd w:val="0"/>
        <w:jc w:val="both"/>
        <w:rPr>
          <w:b/>
          <w:u w:val="single"/>
        </w:rPr>
      </w:pPr>
      <w:r w:rsidRPr="00A61154">
        <w:rPr>
          <w:b/>
          <w:u w:val="single"/>
        </w:rPr>
        <w:t>Вимоги:</w:t>
      </w:r>
    </w:p>
    <w:p w:rsidR="00A57074" w:rsidRPr="00A61154" w:rsidRDefault="00A57074" w:rsidP="00A57074">
      <w:pPr>
        <w:jc w:val="both"/>
        <w:rPr>
          <w:rFonts w:eastAsia="Calibri"/>
          <w:lang w:eastAsia="uk-UA"/>
        </w:rPr>
      </w:pPr>
      <w:r w:rsidRPr="00A61154">
        <w:rPr>
          <w:rFonts w:eastAsia="Calibri"/>
          <w:lang w:eastAsia="uk-UA"/>
        </w:rPr>
        <w:t xml:space="preserve">1. Учасник повинен надати </w:t>
      </w:r>
      <w:r w:rsidRPr="00D4236A">
        <w:rPr>
          <w:rFonts w:eastAsia="Calibri"/>
          <w:u w:val="single"/>
          <w:lang w:eastAsia="uk-UA"/>
        </w:rPr>
        <w:t>гарантійний лист про відповідність технічним вимогам</w:t>
      </w:r>
      <w:r w:rsidRPr="00A61154">
        <w:rPr>
          <w:rFonts w:eastAsia="Calibri"/>
          <w:lang w:eastAsia="uk-UA"/>
        </w:rPr>
        <w:t xml:space="preserve"> до предмету закупівлі;</w:t>
      </w:r>
    </w:p>
    <w:p w:rsidR="00A57074" w:rsidRPr="00A61154" w:rsidRDefault="00A57074" w:rsidP="00A57074">
      <w:pPr>
        <w:jc w:val="both"/>
        <w:rPr>
          <w:rFonts w:eastAsia="Calibri"/>
          <w:lang w:eastAsia="uk-UA"/>
        </w:rPr>
      </w:pPr>
      <w:r w:rsidRPr="00A61154">
        <w:rPr>
          <w:rFonts w:eastAsia="Calibri"/>
          <w:lang w:eastAsia="uk-UA"/>
        </w:rPr>
        <w:t>2. Послуги повинні надаватися кваліфікованим персоналом, який має відповідну кваліфікацію та досвід (надати у складі пропозиції копі</w:t>
      </w:r>
      <w:r>
        <w:rPr>
          <w:rFonts w:eastAsia="Calibri"/>
          <w:lang w:eastAsia="uk-UA"/>
        </w:rPr>
        <w:t xml:space="preserve">ю </w:t>
      </w:r>
      <w:r w:rsidRPr="00A61154">
        <w:rPr>
          <w:rFonts w:eastAsia="Calibri"/>
          <w:lang w:eastAsia="uk-UA"/>
        </w:rPr>
        <w:t>сертифікат</w:t>
      </w:r>
      <w:r>
        <w:rPr>
          <w:rFonts w:eastAsia="Calibri"/>
          <w:lang w:eastAsia="uk-UA"/>
        </w:rPr>
        <w:t>а</w:t>
      </w:r>
      <w:r w:rsidRPr="00A61154">
        <w:rPr>
          <w:rFonts w:eastAsia="Calibri"/>
          <w:lang w:eastAsia="uk-UA"/>
        </w:rPr>
        <w:t xml:space="preserve"> сервісн</w:t>
      </w:r>
      <w:r>
        <w:rPr>
          <w:rFonts w:eastAsia="Calibri"/>
          <w:lang w:eastAsia="uk-UA"/>
        </w:rPr>
        <w:t>ого</w:t>
      </w:r>
      <w:r w:rsidRPr="00A61154">
        <w:rPr>
          <w:rFonts w:eastAsia="Calibri"/>
          <w:lang w:eastAsia="uk-UA"/>
        </w:rPr>
        <w:t xml:space="preserve"> спеціаліст</w:t>
      </w:r>
      <w:r>
        <w:rPr>
          <w:rFonts w:eastAsia="Calibri"/>
          <w:lang w:eastAsia="uk-UA"/>
        </w:rPr>
        <w:t>а</w:t>
      </w:r>
      <w:r w:rsidRPr="00A61154">
        <w:rPr>
          <w:rFonts w:eastAsia="Calibri"/>
          <w:lang w:eastAsia="uk-UA"/>
        </w:rPr>
        <w:t xml:space="preserve"> (інженер</w:t>
      </w:r>
      <w:r>
        <w:rPr>
          <w:rFonts w:eastAsia="Calibri"/>
          <w:lang w:eastAsia="uk-UA"/>
        </w:rPr>
        <w:t>а</w:t>
      </w:r>
      <w:r w:rsidRPr="00A61154">
        <w:rPr>
          <w:rFonts w:eastAsia="Calibri"/>
          <w:lang w:eastAsia="uk-UA"/>
        </w:rPr>
        <w:t xml:space="preserve">) </w:t>
      </w:r>
      <w:r>
        <w:rPr>
          <w:rFonts w:eastAsia="Calibri"/>
          <w:lang w:eastAsia="uk-UA"/>
        </w:rPr>
        <w:t xml:space="preserve">про проходження навчання </w:t>
      </w:r>
      <w:r w:rsidRPr="00EE2392">
        <w:t>по проведенню обслуговуванню даного обладнання</w:t>
      </w:r>
      <w:r>
        <w:t>.</w:t>
      </w:r>
    </w:p>
    <w:p w:rsidR="00A57074" w:rsidRPr="008E4D26" w:rsidRDefault="00A57074" w:rsidP="00A57074">
      <w:pPr>
        <w:tabs>
          <w:tab w:val="left" w:pos="142"/>
        </w:tabs>
        <w:jc w:val="both"/>
      </w:pPr>
      <w:r>
        <w:rPr>
          <w:lang w:eastAsia="uk-UA"/>
        </w:rPr>
        <w:t>3</w:t>
      </w:r>
      <w:r w:rsidRPr="00A61154">
        <w:rPr>
          <w:lang w:eastAsia="uk-UA"/>
        </w:rPr>
        <w:t>.</w:t>
      </w:r>
      <w:r w:rsidRPr="00A61154">
        <w:rPr>
          <w:b/>
          <w:lang w:eastAsia="uk-UA"/>
        </w:rPr>
        <w:t xml:space="preserve"> </w:t>
      </w:r>
      <w:r w:rsidRPr="00A61154">
        <w:rPr>
          <w:color w:val="000000"/>
        </w:rPr>
        <w:t>Надання послуг передбачає приїзд інженер</w:t>
      </w:r>
      <w:r>
        <w:rPr>
          <w:color w:val="000000"/>
        </w:rPr>
        <w:t>а</w:t>
      </w:r>
      <w:r w:rsidRPr="00A61154">
        <w:rPr>
          <w:color w:val="000000"/>
        </w:rPr>
        <w:t xml:space="preserve"> на територію Замовника</w:t>
      </w:r>
      <w:r>
        <w:rPr>
          <w:color w:val="000000"/>
        </w:rPr>
        <w:t xml:space="preserve">. </w:t>
      </w:r>
      <w:r w:rsidRPr="00A61154">
        <w:rPr>
          <w:color w:val="000000"/>
        </w:rPr>
        <w:t>(надати гарантійний лист).</w:t>
      </w:r>
    </w:p>
    <w:p w:rsidR="00A57074" w:rsidRPr="00A61154" w:rsidRDefault="00A57074" w:rsidP="00A57074">
      <w:pPr>
        <w:jc w:val="both"/>
        <w:rPr>
          <w:color w:val="000000"/>
        </w:rPr>
      </w:pPr>
      <w:r>
        <w:rPr>
          <w:lang w:eastAsia="uk-UA"/>
        </w:rPr>
        <w:t>4</w:t>
      </w:r>
      <w:r w:rsidRPr="00A61154">
        <w:rPr>
          <w:lang w:eastAsia="uk-UA"/>
        </w:rPr>
        <w:t>.</w:t>
      </w:r>
      <w:r w:rsidRPr="00A61154">
        <w:rPr>
          <w:b/>
          <w:lang w:eastAsia="uk-UA"/>
        </w:rPr>
        <w:t xml:space="preserve"> </w:t>
      </w:r>
      <w:r w:rsidRPr="00A61154">
        <w:rPr>
          <w:color w:val="000000"/>
        </w:rPr>
        <w:t>Учасник при наданні послуг повинен забезпечувати дотримання вимог із захисту довкілля (надати у складі пропозиції гарантійний лист щодо дотримання вимог із захисту довкілля)</w:t>
      </w:r>
      <w:r>
        <w:rPr>
          <w:color w:val="000000"/>
        </w:rPr>
        <w:t>.</w:t>
      </w:r>
    </w:p>
    <w:p w:rsidR="00A57074" w:rsidRDefault="00A57074" w:rsidP="00A5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jc w:val="both"/>
        <w:rPr>
          <w:rFonts w:eastAsia="Calibri"/>
          <w:i/>
          <w:color w:val="000000"/>
          <w:lang w:val="x-none" w:eastAsia="ar-SA"/>
        </w:rPr>
      </w:pPr>
    </w:p>
    <w:p w:rsidR="00A57074" w:rsidRPr="00D4236A" w:rsidRDefault="00A57074" w:rsidP="00A57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jc w:val="both"/>
        <w:rPr>
          <w:rFonts w:eastAsia="Calibri"/>
          <w:i/>
          <w:color w:val="000000"/>
          <w:lang w:val="x-none" w:eastAsia="ar-SA"/>
        </w:rPr>
      </w:pPr>
      <w:r w:rsidRPr="00D4236A">
        <w:rPr>
          <w:rFonts w:eastAsia="Calibri"/>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A57074" w:rsidRDefault="00A57074" w:rsidP="00A57074">
      <w:pPr>
        <w:rPr>
          <w:b/>
          <w:color w:val="222222"/>
        </w:rPr>
      </w:pPr>
      <w:r w:rsidRPr="009B0C60">
        <w:rPr>
          <w:b/>
          <w:color w:val="222222"/>
          <w:u w:val="single"/>
        </w:rPr>
        <w:t>Термін надання послуг</w:t>
      </w:r>
      <w:r w:rsidRPr="009B0C60">
        <w:rPr>
          <w:b/>
          <w:color w:val="222222"/>
        </w:rPr>
        <w:t>:</w:t>
      </w:r>
      <w:r w:rsidRPr="009B0C60">
        <w:rPr>
          <w:color w:val="222222"/>
        </w:rPr>
        <w:t xml:space="preserve"> з моменту підписання договору та скріплення печатками (за наявності) – </w:t>
      </w:r>
      <w:r w:rsidRPr="009B0C60">
        <w:rPr>
          <w:b/>
          <w:color w:val="222222"/>
        </w:rPr>
        <w:t>по 31 грудня  2025 року</w:t>
      </w:r>
    </w:p>
    <w:p w:rsidR="00A57074" w:rsidRDefault="00A57074" w:rsidP="00A57074">
      <w:pPr>
        <w:rPr>
          <w:b/>
          <w:color w:val="222222"/>
        </w:rPr>
      </w:pPr>
    </w:p>
    <w:p w:rsidR="00A57074" w:rsidRDefault="00A57074" w:rsidP="00A57074">
      <w:pPr>
        <w:rPr>
          <w:b/>
        </w:rPr>
      </w:pPr>
      <w:r w:rsidRPr="00C03B58">
        <w:rPr>
          <w:b/>
        </w:rPr>
        <w:t>Очікувана вартість закупівлі складає</w:t>
      </w:r>
      <w:r>
        <w:rPr>
          <w:b/>
        </w:rPr>
        <w:t xml:space="preserve"> </w:t>
      </w:r>
      <w:r w:rsidRPr="00C03B58">
        <w:rPr>
          <w:b/>
        </w:rPr>
        <w:t>154 375,21</w:t>
      </w:r>
      <w:r>
        <w:rPr>
          <w:b/>
        </w:rPr>
        <w:t xml:space="preserve"> грн. (сто п'ятдесят чотири тисячі триста сімдесят п'ять тисяч гривень 21 копійка) </w:t>
      </w:r>
      <w:r w:rsidRPr="00C03B58">
        <w:rPr>
          <w:b/>
        </w:rPr>
        <w:t>з ПДВ</w:t>
      </w:r>
      <w:r>
        <w:rPr>
          <w:b/>
        </w:rPr>
        <w:t>.</w:t>
      </w:r>
      <w:r w:rsidRPr="00C03B58">
        <w:rPr>
          <w:b/>
        </w:rPr>
        <w:t xml:space="preserve">    </w:t>
      </w:r>
    </w:p>
    <w:p w:rsidR="00577FCD" w:rsidRPr="00DB6D99" w:rsidRDefault="00577FCD" w:rsidP="00A57074">
      <w:pPr>
        <w:jc w:val="center"/>
        <w:outlineLvl w:val="0"/>
        <w:rPr>
          <w:bCs/>
        </w:rPr>
      </w:pPr>
      <w:bookmarkStart w:id="4" w:name="_GoBack"/>
      <w:bookmarkEnd w:id="4"/>
    </w:p>
    <w:sectPr w:rsidR="00577FCD" w:rsidRPr="00DB6D9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8"/>
  </w:num>
  <w:num w:numId="9">
    <w:abstractNumId w:val="7"/>
  </w:num>
  <w:num w:numId="10">
    <w:abstractNumId w:val="17"/>
  </w:num>
  <w:num w:numId="11">
    <w:abstractNumId w:val="12"/>
  </w:num>
  <w:num w:numId="12">
    <w:abstractNumId w:val="14"/>
  </w:num>
  <w:num w:numId="13">
    <w:abstractNumId w:val="16"/>
  </w:num>
  <w:num w:numId="14">
    <w:abstractNumId w:val="19"/>
  </w:num>
  <w:num w:numId="15">
    <w:abstractNumId w:val="13"/>
  </w:num>
  <w:num w:numId="16">
    <w:abstractNumId w:val="10"/>
  </w:num>
  <w:num w:numId="17">
    <w:abstractNumId w:val="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F36E4"/>
    <w:rsid w:val="00217CA6"/>
    <w:rsid w:val="002E61D3"/>
    <w:rsid w:val="0039040B"/>
    <w:rsid w:val="004432B0"/>
    <w:rsid w:val="004C00B2"/>
    <w:rsid w:val="004E1A9F"/>
    <w:rsid w:val="004E3803"/>
    <w:rsid w:val="0052468D"/>
    <w:rsid w:val="00577FCD"/>
    <w:rsid w:val="005B6903"/>
    <w:rsid w:val="005F5AA5"/>
    <w:rsid w:val="007018F6"/>
    <w:rsid w:val="007056F4"/>
    <w:rsid w:val="007E3784"/>
    <w:rsid w:val="008B6B7A"/>
    <w:rsid w:val="008E1B80"/>
    <w:rsid w:val="00981353"/>
    <w:rsid w:val="00984C0B"/>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1866</Words>
  <Characters>1064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53</cp:revision>
  <cp:lastPrinted>2025-01-20T07:48:00Z</cp:lastPrinted>
  <dcterms:created xsi:type="dcterms:W3CDTF">2025-01-30T07:30:00Z</dcterms:created>
  <dcterms:modified xsi:type="dcterms:W3CDTF">2025-05-08T07:00:00Z</dcterms:modified>
</cp:coreProperties>
</file>