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687F3" w14:textId="77777777" w:rsidR="00577FCD" w:rsidRDefault="004E3803" w:rsidP="00577FCD">
      <w:pPr>
        <w:jc w:val="center"/>
        <w:outlineLvl w:val="0"/>
        <w:rPr>
          <w:b/>
          <w:sz w:val="40"/>
          <w:szCs w:val="40"/>
        </w:rPr>
      </w:pPr>
      <w:r>
        <w:rPr>
          <w:b/>
          <w:sz w:val="40"/>
          <w:szCs w:val="40"/>
        </w:rPr>
        <w:t xml:space="preserve">ОБГРУНТУВАННЯ </w:t>
      </w:r>
    </w:p>
    <w:p w14:paraId="2209B1CF" w14:textId="77777777" w:rsidR="003673F5" w:rsidRPr="00EF4154" w:rsidRDefault="003673F5" w:rsidP="003673F5">
      <w:pPr>
        <w:jc w:val="center"/>
        <w:rPr>
          <w:b/>
          <w:bCs/>
          <w:iCs/>
          <w:sz w:val="36"/>
          <w:szCs w:val="36"/>
        </w:rPr>
      </w:pPr>
      <w:r w:rsidRPr="00EF4154">
        <w:rPr>
          <w:b/>
          <w:bCs/>
          <w:iCs/>
          <w:sz w:val="36"/>
          <w:szCs w:val="36"/>
        </w:rPr>
        <w:t>ТЕХНІЧНЕ ЗАВДАННЯ</w:t>
      </w:r>
    </w:p>
    <w:p w14:paraId="68F72165" w14:textId="77777777" w:rsidR="003673F5" w:rsidRPr="00EF4154" w:rsidRDefault="003673F5" w:rsidP="003673F5">
      <w:pPr>
        <w:jc w:val="center"/>
        <w:outlineLvl w:val="0"/>
        <w:rPr>
          <w:b/>
          <w:sz w:val="28"/>
          <w:szCs w:val="28"/>
        </w:rPr>
      </w:pPr>
      <w:r w:rsidRPr="00EF4154">
        <w:rPr>
          <w:b/>
          <w:sz w:val="28"/>
          <w:szCs w:val="28"/>
        </w:rPr>
        <w:t xml:space="preserve">МЕДИКО-ТЕХНІЧНІ ВИМОГИ </w:t>
      </w:r>
    </w:p>
    <w:p w14:paraId="6BC91FAB" w14:textId="77777777" w:rsidR="003673F5" w:rsidRPr="00EF4154" w:rsidRDefault="003673F5" w:rsidP="003673F5">
      <w:pPr>
        <w:spacing w:after="60"/>
        <w:jc w:val="center"/>
        <w:outlineLvl w:val="0"/>
        <w:rPr>
          <w:b/>
          <w:sz w:val="28"/>
          <w:szCs w:val="28"/>
        </w:rPr>
      </w:pPr>
      <w:r w:rsidRPr="00EF4154">
        <w:rPr>
          <w:b/>
          <w:sz w:val="28"/>
          <w:szCs w:val="28"/>
        </w:rPr>
        <w:t>на закупівлю по предмету</w:t>
      </w:r>
    </w:p>
    <w:p w14:paraId="1DD0C641" w14:textId="6B948662" w:rsidR="003673F5" w:rsidRDefault="003673F5" w:rsidP="003673F5">
      <w:pPr>
        <w:rPr>
          <w:b/>
          <w:bCs/>
          <w:color w:val="413003"/>
        </w:rPr>
      </w:pPr>
      <w:r w:rsidRPr="00EF4154">
        <w:rPr>
          <w:b/>
        </w:rPr>
        <w:t xml:space="preserve">код ДК 021:2015: 50420000-5 </w:t>
      </w:r>
      <w:r w:rsidRPr="00EF4154">
        <w:rPr>
          <w:rFonts w:eastAsia="Calibri"/>
          <w:b/>
        </w:rPr>
        <w:t>Послуги з ремонту і технічного обслуговування медичного та хірургічного обладнання</w:t>
      </w:r>
      <w:r>
        <w:rPr>
          <w:rFonts w:eastAsia="Calibri"/>
          <w:b/>
        </w:rPr>
        <w:t xml:space="preserve">  (</w:t>
      </w:r>
      <w:r w:rsidRPr="00BA263C">
        <w:rPr>
          <w:b/>
          <w:bCs/>
          <w:color w:val="413003"/>
        </w:rPr>
        <w:t>Послуги з ремонту та щорічного технічного обслуговування Апарат</w:t>
      </w:r>
      <w:r>
        <w:rPr>
          <w:b/>
          <w:bCs/>
          <w:color w:val="413003"/>
        </w:rPr>
        <w:t>у</w:t>
      </w:r>
      <w:r w:rsidRPr="00BA263C">
        <w:rPr>
          <w:b/>
          <w:bCs/>
          <w:color w:val="413003"/>
        </w:rPr>
        <w:t xml:space="preserve"> штучної вентиляції </w:t>
      </w:r>
      <w:proofErr w:type="spellStart"/>
      <w:r w:rsidRPr="00BA263C">
        <w:rPr>
          <w:b/>
          <w:bCs/>
          <w:color w:val="413003"/>
        </w:rPr>
        <w:t>легенів</w:t>
      </w:r>
      <w:proofErr w:type="spellEnd"/>
      <w:r w:rsidRPr="00BA263C">
        <w:rPr>
          <w:b/>
          <w:bCs/>
          <w:color w:val="413003"/>
        </w:rPr>
        <w:t xml:space="preserve"> HAMILTON-T1 (серійний номер: 18227), в комплекті</w:t>
      </w:r>
      <w:r>
        <w:rPr>
          <w:b/>
          <w:bCs/>
          <w:color w:val="413003"/>
        </w:rPr>
        <w:t>)</w:t>
      </w:r>
    </w:p>
    <w:p w14:paraId="3BF44095" w14:textId="77777777" w:rsidR="00A173F4" w:rsidRDefault="00A173F4" w:rsidP="003673F5">
      <w:pPr>
        <w:rPr>
          <w:b/>
          <w:bCs/>
          <w:color w:val="413003"/>
        </w:rPr>
      </w:pPr>
    </w:p>
    <w:p w14:paraId="0DE2B257" w14:textId="3DB71808" w:rsidR="003673F5" w:rsidRPr="00E43785" w:rsidRDefault="003673F5" w:rsidP="00A173F4">
      <w:pPr>
        <w:numPr>
          <w:ilvl w:val="0"/>
          <w:numId w:val="21"/>
        </w:numPr>
        <w:tabs>
          <w:tab w:val="left" w:pos="142"/>
        </w:tabs>
      </w:pPr>
      <w:r w:rsidRPr="00E43785">
        <w:rPr>
          <w:b/>
        </w:rPr>
        <w:t>Місце надання послуг</w:t>
      </w:r>
      <w:r w:rsidRPr="00E43785">
        <w:t xml:space="preserve">: </w:t>
      </w:r>
      <w:proofErr w:type="spellStart"/>
      <w:r w:rsidRPr="00E43785">
        <w:t>м.Київ</w:t>
      </w:r>
      <w:proofErr w:type="spellEnd"/>
      <w:r w:rsidRPr="00E43785">
        <w:t xml:space="preserve">, вул. </w:t>
      </w:r>
      <w:proofErr w:type="spellStart"/>
      <w:r w:rsidRPr="00E43785">
        <w:t>В.Чорновола</w:t>
      </w:r>
      <w:proofErr w:type="spellEnd"/>
      <w:r w:rsidRPr="00E43785">
        <w:t xml:space="preserve">, 28/1, вул. </w:t>
      </w:r>
      <w:proofErr w:type="spellStart"/>
      <w:r w:rsidRPr="00E43785">
        <w:t>В.Чорновола</w:t>
      </w:r>
      <w:proofErr w:type="spellEnd"/>
      <w:r w:rsidRPr="00E43785">
        <w:t>, 28/1-Р, вул.Стрітенська,7-9 ДНП « НДСЛ "Охматдит" МОЗ України»;</w:t>
      </w:r>
    </w:p>
    <w:tbl>
      <w:tblPr>
        <w:tblW w:w="8926" w:type="dxa"/>
        <w:tblLook w:val="04A0" w:firstRow="1" w:lastRow="0" w:firstColumn="1" w:lastColumn="0" w:noHBand="0" w:noVBand="1"/>
      </w:tblPr>
      <w:tblGrid>
        <w:gridCol w:w="816"/>
        <w:gridCol w:w="4991"/>
        <w:gridCol w:w="1559"/>
        <w:gridCol w:w="1560"/>
      </w:tblGrid>
      <w:tr w:rsidR="00A173F4" w:rsidRPr="00BA263C" w14:paraId="7914FE11" w14:textId="77777777" w:rsidTr="00270B6E">
        <w:trPr>
          <w:trHeight w:val="1161"/>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3C6996" w14:textId="77777777" w:rsidR="00A173F4" w:rsidRPr="00BA263C" w:rsidRDefault="00A173F4" w:rsidP="00270B6E">
            <w:pPr>
              <w:jc w:val="center"/>
              <w:rPr>
                <w:b/>
                <w:bCs/>
                <w:color w:val="413003"/>
              </w:rPr>
            </w:pPr>
            <w:r w:rsidRPr="00BA263C">
              <w:rPr>
                <w:b/>
                <w:bCs/>
                <w:color w:val="413003"/>
              </w:rPr>
              <w:t>№</w:t>
            </w:r>
          </w:p>
        </w:tc>
        <w:tc>
          <w:tcPr>
            <w:tcW w:w="5041" w:type="dxa"/>
            <w:tcBorders>
              <w:top w:val="single" w:sz="4" w:space="0" w:color="000000"/>
              <w:left w:val="nil"/>
              <w:bottom w:val="single" w:sz="4" w:space="0" w:color="000000"/>
              <w:right w:val="single" w:sz="4" w:space="0" w:color="000000"/>
            </w:tcBorders>
            <w:shd w:val="clear" w:color="auto" w:fill="auto"/>
            <w:vAlign w:val="center"/>
            <w:hideMark/>
          </w:tcPr>
          <w:p w14:paraId="35AB979A" w14:textId="77777777" w:rsidR="00A173F4" w:rsidRPr="00EF4154" w:rsidRDefault="00A173F4" w:rsidP="00270B6E">
            <w:pPr>
              <w:ind w:firstLineChars="100" w:firstLine="241"/>
              <w:rPr>
                <w:b/>
                <w:bCs/>
                <w:color w:val="413003"/>
              </w:rPr>
            </w:pPr>
            <w:r w:rsidRPr="00BA263C">
              <w:rPr>
                <w:b/>
                <w:bCs/>
                <w:color w:val="413003"/>
              </w:rPr>
              <w:t>Найменування</w:t>
            </w:r>
            <w:r>
              <w:rPr>
                <w:b/>
                <w:bCs/>
                <w:color w:val="413003"/>
              </w:rPr>
              <w:t xml:space="preserve"> послуги</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12E3CF62" w14:textId="77777777" w:rsidR="00A173F4" w:rsidRPr="00BA263C" w:rsidRDefault="00A173F4" w:rsidP="00270B6E">
            <w:pPr>
              <w:jc w:val="center"/>
              <w:rPr>
                <w:b/>
                <w:bCs/>
                <w:color w:val="413003"/>
              </w:rPr>
            </w:pPr>
            <w:r w:rsidRPr="00BA263C">
              <w:rPr>
                <w:b/>
                <w:bCs/>
                <w:color w:val="413003"/>
              </w:rPr>
              <w:t>Одиниця виміру</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14:paraId="48978D4F" w14:textId="77777777" w:rsidR="00A173F4" w:rsidRPr="00BA263C" w:rsidRDefault="00A173F4" w:rsidP="00270B6E">
            <w:pPr>
              <w:jc w:val="center"/>
              <w:rPr>
                <w:b/>
                <w:bCs/>
                <w:color w:val="413003"/>
              </w:rPr>
            </w:pPr>
            <w:r w:rsidRPr="00BA263C">
              <w:rPr>
                <w:b/>
                <w:bCs/>
                <w:color w:val="413003"/>
              </w:rPr>
              <w:t>Кількість</w:t>
            </w:r>
          </w:p>
        </w:tc>
      </w:tr>
      <w:tr w:rsidR="00A173F4" w:rsidRPr="00BA263C" w14:paraId="14791E21" w14:textId="77777777" w:rsidTr="00270B6E">
        <w:trPr>
          <w:trHeight w:val="116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3563C15F" w14:textId="77777777" w:rsidR="00A173F4" w:rsidRPr="00BA263C" w:rsidRDefault="00A173F4" w:rsidP="00270B6E">
            <w:pPr>
              <w:jc w:val="center"/>
              <w:rPr>
                <w:color w:val="413003"/>
              </w:rPr>
            </w:pPr>
            <w:r w:rsidRPr="00BA263C">
              <w:rPr>
                <w:color w:val="413003"/>
              </w:rPr>
              <w:t>1</w:t>
            </w:r>
          </w:p>
        </w:tc>
        <w:tc>
          <w:tcPr>
            <w:tcW w:w="5041" w:type="dxa"/>
            <w:tcBorders>
              <w:top w:val="nil"/>
              <w:left w:val="nil"/>
              <w:bottom w:val="single" w:sz="4" w:space="0" w:color="000000"/>
              <w:right w:val="single" w:sz="4" w:space="0" w:color="000000"/>
            </w:tcBorders>
            <w:shd w:val="clear" w:color="auto" w:fill="auto"/>
            <w:vAlign w:val="center"/>
            <w:hideMark/>
          </w:tcPr>
          <w:p w14:paraId="4EFE2244" w14:textId="77777777" w:rsidR="00A173F4" w:rsidRPr="00BA263C" w:rsidRDefault="00A173F4" w:rsidP="00270B6E">
            <w:pPr>
              <w:rPr>
                <w:b/>
                <w:bCs/>
                <w:color w:val="413003"/>
              </w:rPr>
            </w:pPr>
            <w:r w:rsidRPr="00BA263C">
              <w:rPr>
                <w:b/>
                <w:bCs/>
                <w:color w:val="413003"/>
              </w:rPr>
              <w:t>Послуги з  ремонту та щорічного технічного обслуговування Апарат</w:t>
            </w:r>
            <w:r>
              <w:rPr>
                <w:b/>
                <w:bCs/>
                <w:color w:val="413003"/>
              </w:rPr>
              <w:t>у</w:t>
            </w:r>
            <w:r w:rsidRPr="00BA263C">
              <w:rPr>
                <w:b/>
                <w:bCs/>
                <w:color w:val="413003"/>
              </w:rPr>
              <w:t xml:space="preserve"> штучної вентиляції </w:t>
            </w:r>
            <w:proofErr w:type="spellStart"/>
            <w:r w:rsidRPr="00BA263C">
              <w:rPr>
                <w:b/>
                <w:bCs/>
                <w:color w:val="413003"/>
              </w:rPr>
              <w:t>легенів</w:t>
            </w:r>
            <w:proofErr w:type="spellEnd"/>
            <w:r w:rsidRPr="00BA263C">
              <w:rPr>
                <w:b/>
                <w:bCs/>
                <w:color w:val="413003"/>
              </w:rPr>
              <w:t xml:space="preserve"> HAMILTON-T1 (серійний номер: 18227), в комплекті:</w:t>
            </w:r>
          </w:p>
        </w:tc>
        <w:tc>
          <w:tcPr>
            <w:tcW w:w="1559" w:type="dxa"/>
            <w:tcBorders>
              <w:top w:val="nil"/>
              <w:left w:val="nil"/>
              <w:bottom w:val="single" w:sz="4" w:space="0" w:color="000000"/>
              <w:right w:val="single" w:sz="4" w:space="0" w:color="000000"/>
            </w:tcBorders>
            <w:shd w:val="clear" w:color="auto" w:fill="auto"/>
            <w:noWrap/>
            <w:vAlign w:val="center"/>
            <w:hideMark/>
          </w:tcPr>
          <w:p w14:paraId="067572DB" w14:textId="77777777" w:rsidR="00A173F4" w:rsidRPr="00BA263C" w:rsidRDefault="00A173F4" w:rsidP="00270B6E">
            <w:pPr>
              <w:jc w:val="center"/>
              <w:rPr>
                <w:b/>
                <w:bCs/>
                <w:color w:val="413003"/>
              </w:rPr>
            </w:pPr>
            <w:proofErr w:type="spellStart"/>
            <w:r w:rsidRPr="00BA263C">
              <w:rPr>
                <w:b/>
                <w:bCs/>
                <w:color w:val="413003"/>
              </w:rPr>
              <w:t>Посл</w:t>
            </w:r>
            <w:proofErr w:type="spellEnd"/>
            <w:r w:rsidRPr="00BA263C">
              <w:rPr>
                <w:b/>
                <w:bCs/>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62C40177" w14:textId="77777777" w:rsidR="00A173F4" w:rsidRPr="00BA263C" w:rsidRDefault="00A173F4" w:rsidP="00270B6E">
            <w:pPr>
              <w:jc w:val="center"/>
              <w:rPr>
                <w:color w:val="413003"/>
              </w:rPr>
            </w:pPr>
            <w:r w:rsidRPr="00BA263C">
              <w:rPr>
                <w:color w:val="413003"/>
              </w:rPr>
              <w:t> </w:t>
            </w:r>
          </w:p>
        </w:tc>
      </w:tr>
      <w:tr w:rsidR="00A173F4" w:rsidRPr="00BA263C" w14:paraId="24CD35FE"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0585A10C" w14:textId="77777777" w:rsidR="00A173F4" w:rsidRPr="00BA263C" w:rsidRDefault="00A173F4" w:rsidP="00270B6E">
            <w:pPr>
              <w:jc w:val="center"/>
              <w:rPr>
                <w:color w:val="413003"/>
              </w:rPr>
            </w:pPr>
            <w:r w:rsidRPr="00BA263C">
              <w:rPr>
                <w:color w:val="413003"/>
              </w:rPr>
              <w:t>1.1</w:t>
            </w:r>
          </w:p>
        </w:tc>
        <w:tc>
          <w:tcPr>
            <w:tcW w:w="5041" w:type="dxa"/>
            <w:tcBorders>
              <w:top w:val="nil"/>
              <w:left w:val="nil"/>
              <w:bottom w:val="single" w:sz="4" w:space="0" w:color="000000"/>
              <w:right w:val="single" w:sz="4" w:space="0" w:color="000000"/>
            </w:tcBorders>
            <w:shd w:val="clear" w:color="auto" w:fill="auto"/>
            <w:vAlign w:val="center"/>
            <w:hideMark/>
          </w:tcPr>
          <w:p w14:paraId="728000A7" w14:textId="77777777" w:rsidR="00A173F4" w:rsidRPr="00BA263C" w:rsidRDefault="00A173F4" w:rsidP="00270B6E">
            <w:pPr>
              <w:rPr>
                <w:b/>
                <w:bCs/>
                <w:color w:val="413003"/>
              </w:rPr>
            </w:pPr>
            <w:r w:rsidRPr="00BA263C">
              <w:rPr>
                <w:b/>
                <w:bCs/>
                <w:color w:val="413003"/>
              </w:rPr>
              <w:t>Апарат ШВЛ</w:t>
            </w:r>
          </w:p>
        </w:tc>
        <w:tc>
          <w:tcPr>
            <w:tcW w:w="1559" w:type="dxa"/>
            <w:tcBorders>
              <w:top w:val="nil"/>
              <w:left w:val="nil"/>
              <w:bottom w:val="single" w:sz="4" w:space="0" w:color="000000"/>
              <w:right w:val="single" w:sz="4" w:space="0" w:color="000000"/>
            </w:tcBorders>
            <w:shd w:val="clear" w:color="auto" w:fill="auto"/>
            <w:noWrap/>
            <w:vAlign w:val="center"/>
            <w:hideMark/>
          </w:tcPr>
          <w:p w14:paraId="33A608D2" w14:textId="77777777" w:rsidR="00A173F4" w:rsidRPr="00BA263C" w:rsidRDefault="00A173F4" w:rsidP="00270B6E">
            <w:pPr>
              <w:jc w:val="center"/>
              <w:rPr>
                <w:b/>
                <w:bCs/>
                <w:color w:val="413003"/>
              </w:rPr>
            </w:pPr>
            <w:r w:rsidRPr="00BA263C">
              <w:rPr>
                <w:b/>
                <w:bCs/>
                <w:color w:val="413003"/>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03AD2766" w14:textId="77777777" w:rsidR="00A173F4" w:rsidRPr="00BA263C" w:rsidRDefault="00A173F4" w:rsidP="00270B6E">
            <w:pPr>
              <w:jc w:val="center"/>
              <w:rPr>
                <w:color w:val="413003"/>
              </w:rPr>
            </w:pPr>
            <w:r w:rsidRPr="00BA263C">
              <w:rPr>
                <w:color w:val="413003"/>
              </w:rPr>
              <w:t> </w:t>
            </w:r>
          </w:p>
        </w:tc>
      </w:tr>
      <w:tr w:rsidR="00A173F4" w:rsidRPr="00BA263C" w14:paraId="70699281"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6F9D251E" w14:textId="77777777" w:rsidR="00A173F4" w:rsidRPr="00BA263C" w:rsidRDefault="00A173F4" w:rsidP="00270B6E">
            <w:pPr>
              <w:jc w:val="center"/>
              <w:rPr>
                <w:color w:val="413003"/>
              </w:rPr>
            </w:pPr>
            <w:r w:rsidRPr="00BA263C">
              <w:rPr>
                <w:color w:val="413003"/>
              </w:rPr>
              <w:t>1.1.1</w:t>
            </w:r>
          </w:p>
        </w:tc>
        <w:tc>
          <w:tcPr>
            <w:tcW w:w="5041" w:type="dxa"/>
            <w:tcBorders>
              <w:top w:val="nil"/>
              <w:left w:val="nil"/>
              <w:bottom w:val="single" w:sz="4" w:space="0" w:color="000000"/>
              <w:right w:val="single" w:sz="4" w:space="0" w:color="000000"/>
            </w:tcBorders>
            <w:shd w:val="clear" w:color="auto" w:fill="auto"/>
            <w:vAlign w:val="center"/>
            <w:hideMark/>
          </w:tcPr>
          <w:p w14:paraId="7AA5D38D" w14:textId="77777777" w:rsidR="00A173F4" w:rsidRPr="00BA263C" w:rsidRDefault="00A173F4" w:rsidP="00270B6E">
            <w:pPr>
              <w:rPr>
                <w:color w:val="413003"/>
              </w:rPr>
            </w:pPr>
            <w:r w:rsidRPr="00BA263C">
              <w:rPr>
                <w:color w:val="413003"/>
              </w:rPr>
              <w:t>Розбирання та збирання</w:t>
            </w:r>
          </w:p>
        </w:tc>
        <w:tc>
          <w:tcPr>
            <w:tcW w:w="1559" w:type="dxa"/>
            <w:tcBorders>
              <w:top w:val="nil"/>
              <w:left w:val="nil"/>
              <w:bottom w:val="single" w:sz="4" w:space="0" w:color="000000"/>
              <w:right w:val="single" w:sz="4" w:space="0" w:color="000000"/>
            </w:tcBorders>
            <w:shd w:val="clear" w:color="auto" w:fill="auto"/>
            <w:noWrap/>
            <w:vAlign w:val="center"/>
            <w:hideMark/>
          </w:tcPr>
          <w:p w14:paraId="46B1B88A"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2B016AC3" w14:textId="77777777" w:rsidR="00A173F4" w:rsidRPr="00BA263C" w:rsidRDefault="00A173F4" w:rsidP="00270B6E">
            <w:pPr>
              <w:jc w:val="center"/>
              <w:rPr>
                <w:color w:val="413003"/>
              </w:rPr>
            </w:pPr>
            <w:r w:rsidRPr="00BA263C">
              <w:rPr>
                <w:color w:val="413003"/>
              </w:rPr>
              <w:t>1</w:t>
            </w:r>
          </w:p>
        </w:tc>
      </w:tr>
      <w:tr w:rsidR="00A173F4" w:rsidRPr="00BA263C" w14:paraId="04451E03"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1D264CA3" w14:textId="77777777" w:rsidR="00A173F4" w:rsidRPr="00BA263C" w:rsidRDefault="00A173F4" w:rsidP="00270B6E">
            <w:pPr>
              <w:jc w:val="center"/>
              <w:rPr>
                <w:color w:val="413003"/>
              </w:rPr>
            </w:pPr>
            <w:r w:rsidRPr="00BA263C">
              <w:rPr>
                <w:color w:val="413003"/>
              </w:rPr>
              <w:t>1.1.2</w:t>
            </w:r>
          </w:p>
        </w:tc>
        <w:tc>
          <w:tcPr>
            <w:tcW w:w="5041" w:type="dxa"/>
            <w:tcBorders>
              <w:top w:val="nil"/>
              <w:left w:val="nil"/>
              <w:bottom w:val="single" w:sz="4" w:space="0" w:color="000000"/>
              <w:right w:val="single" w:sz="4" w:space="0" w:color="000000"/>
            </w:tcBorders>
            <w:shd w:val="clear" w:color="auto" w:fill="auto"/>
            <w:vAlign w:val="center"/>
            <w:hideMark/>
          </w:tcPr>
          <w:p w14:paraId="6156C0BC" w14:textId="77777777" w:rsidR="00A173F4" w:rsidRPr="00BA263C" w:rsidRDefault="00A173F4" w:rsidP="00270B6E">
            <w:pPr>
              <w:rPr>
                <w:color w:val="413003"/>
              </w:rPr>
            </w:pPr>
            <w:r w:rsidRPr="00BA263C">
              <w:rPr>
                <w:color w:val="413003"/>
              </w:rPr>
              <w:t>Чистка</w:t>
            </w:r>
          </w:p>
        </w:tc>
        <w:tc>
          <w:tcPr>
            <w:tcW w:w="1559" w:type="dxa"/>
            <w:tcBorders>
              <w:top w:val="nil"/>
              <w:left w:val="nil"/>
              <w:bottom w:val="single" w:sz="4" w:space="0" w:color="000000"/>
              <w:right w:val="single" w:sz="4" w:space="0" w:color="000000"/>
            </w:tcBorders>
            <w:shd w:val="clear" w:color="auto" w:fill="auto"/>
            <w:noWrap/>
            <w:vAlign w:val="center"/>
            <w:hideMark/>
          </w:tcPr>
          <w:p w14:paraId="582CDCFD"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4C26B6F1" w14:textId="77777777" w:rsidR="00A173F4" w:rsidRPr="00BA263C" w:rsidRDefault="00A173F4" w:rsidP="00270B6E">
            <w:pPr>
              <w:jc w:val="center"/>
              <w:rPr>
                <w:color w:val="413003"/>
              </w:rPr>
            </w:pPr>
            <w:r w:rsidRPr="00BA263C">
              <w:rPr>
                <w:color w:val="413003"/>
              </w:rPr>
              <w:t>1</w:t>
            </w:r>
          </w:p>
        </w:tc>
      </w:tr>
      <w:tr w:rsidR="00A173F4" w:rsidRPr="00BA263C" w14:paraId="00EE40D4"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6A9D0020" w14:textId="77777777" w:rsidR="00A173F4" w:rsidRPr="00BA263C" w:rsidRDefault="00A173F4" w:rsidP="00270B6E">
            <w:pPr>
              <w:jc w:val="center"/>
              <w:rPr>
                <w:color w:val="413003"/>
              </w:rPr>
            </w:pPr>
            <w:r w:rsidRPr="00BA263C">
              <w:rPr>
                <w:color w:val="413003"/>
              </w:rPr>
              <w:t>1.1.3</w:t>
            </w:r>
          </w:p>
        </w:tc>
        <w:tc>
          <w:tcPr>
            <w:tcW w:w="5041" w:type="dxa"/>
            <w:tcBorders>
              <w:top w:val="nil"/>
              <w:left w:val="nil"/>
              <w:bottom w:val="single" w:sz="4" w:space="0" w:color="000000"/>
              <w:right w:val="single" w:sz="4" w:space="0" w:color="000000"/>
            </w:tcBorders>
            <w:shd w:val="clear" w:color="auto" w:fill="auto"/>
            <w:vAlign w:val="center"/>
            <w:hideMark/>
          </w:tcPr>
          <w:p w14:paraId="241ABDD1" w14:textId="77777777" w:rsidR="00A173F4" w:rsidRPr="00BA263C" w:rsidRDefault="00A173F4" w:rsidP="00270B6E">
            <w:pPr>
              <w:rPr>
                <w:color w:val="413003"/>
              </w:rPr>
            </w:pPr>
            <w:r w:rsidRPr="00BA263C">
              <w:rPr>
                <w:color w:val="413003"/>
              </w:rPr>
              <w:t>Заміна фільтрів від пилу</w:t>
            </w:r>
          </w:p>
        </w:tc>
        <w:tc>
          <w:tcPr>
            <w:tcW w:w="1559" w:type="dxa"/>
            <w:tcBorders>
              <w:top w:val="nil"/>
              <w:left w:val="nil"/>
              <w:bottom w:val="single" w:sz="4" w:space="0" w:color="000000"/>
              <w:right w:val="single" w:sz="4" w:space="0" w:color="000000"/>
            </w:tcBorders>
            <w:shd w:val="clear" w:color="auto" w:fill="auto"/>
            <w:noWrap/>
            <w:vAlign w:val="center"/>
            <w:hideMark/>
          </w:tcPr>
          <w:p w14:paraId="30F0CDDF"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2116C0C6" w14:textId="77777777" w:rsidR="00A173F4" w:rsidRPr="00BA263C" w:rsidRDefault="00A173F4" w:rsidP="00270B6E">
            <w:pPr>
              <w:jc w:val="center"/>
              <w:rPr>
                <w:color w:val="413003"/>
              </w:rPr>
            </w:pPr>
            <w:r w:rsidRPr="00BA263C">
              <w:rPr>
                <w:color w:val="413003"/>
              </w:rPr>
              <w:t>1</w:t>
            </w:r>
          </w:p>
        </w:tc>
      </w:tr>
      <w:tr w:rsidR="00A173F4" w:rsidRPr="00BA263C" w14:paraId="63D021B3"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4F39B0C6" w14:textId="77777777" w:rsidR="00A173F4" w:rsidRPr="00BA263C" w:rsidRDefault="00A173F4" w:rsidP="00270B6E">
            <w:pPr>
              <w:jc w:val="center"/>
              <w:rPr>
                <w:color w:val="413003"/>
              </w:rPr>
            </w:pPr>
            <w:r w:rsidRPr="00BA263C">
              <w:rPr>
                <w:color w:val="413003"/>
              </w:rPr>
              <w:t>1.1.4</w:t>
            </w:r>
          </w:p>
        </w:tc>
        <w:tc>
          <w:tcPr>
            <w:tcW w:w="5041" w:type="dxa"/>
            <w:tcBorders>
              <w:top w:val="nil"/>
              <w:left w:val="nil"/>
              <w:bottom w:val="single" w:sz="4" w:space="0" w:color="000000"/>
              <w:right w:val="single" w:sz="4" w:space="0" w:color="000000"/>
            </w:tcBorders>
            <w:shd w:val="clear" w:color="auto" w:fill="auto"/>
            <w:vAlign w:val="center"/>
            <w:hideMark/>
          </w:tcPr>
          <w:p w14:paraId="733F78C4" w14:textId="77777777" w:rsidR="00A173F4" w:rsidRPr="00BA263C" w:rsidRDefault="00A173F4" w:rsidP="00270B6E">
            <w:pPr>
              <w:rPr>
                <w:color w:val="413003"/>
              </w:rPr>
            </w:pPr>
            <w:r w:rsidRPr="00BA263C">
              <w:rPr>
                <w:color w:val="413003"/>
              </w:rPr>
              <w:t>Заміна вхідного фільтра О2</w:t>
            </w:r>
          </w:p>
        </w:tc>
        <w:tc>
          <w:tcPr>
            <w:tcW w:w="1559" w:type="dxa"/>
            <w:tcBorders>
              <w:top w:val="nil"/>
              <w:left w:val="nil"/>
              <w:bottom w:val="single" w:sz="4" w:space="0" w:color="000000"/>
              <w:right w:val="single" w:sz="4" w:space="0" w:color="000000"/>
            </w:tcBorders>
            <w:shd w:val="clear" w:color="auto" w:fill="auto"/>
            <w:noWrap/>
            <w:vAlign w:val="center"/>
            <w:hideMark/>
          </w:tcPr>
          <w:p w14:paraId="6508DE87"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204DCD77" w14:textId="77777777" w:rsidR="00A173F4" w:rsidRPr="00BA263C" w:rsidRDefault="00A173F4" w:rsidP="00270B6E">
            <w:pPr>
              <w:jc w:val="center"/>
              <w:rPr>
                <w:color w:val="413003"/>
              </w:rPr>
            </w:pPr>
            <w:r w:rsidRPr="00BA263C">
              <w:rPr>
                <w:color w:val="413003"/>
              </w:rPr>
              <w:t>1</w:t>
            </w:r>
          </w:p>
        </w:tc>
      </w:tr>
      <w:tr w:rsidR="00A173F4" w:rsidRPr="00BA263C" w14:paraId="66C60E9F"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42A9B734" w14:textId="77777777" w:rsidR="00A173F4" w:rsidRPr="00BA263C" w:rsidRDefault="00A173F4" w:rsidP="00270B6E">
            <w:pPr>
              <w:jc w:val="center"/>
              <w:rPr>
                <w:color w:val="413003"/>
              </w:rPr>
            </w:pPr>
            <w:r w:rsidRPr="00BA263C">
              <w:rPr>
                <w:color w:val="413003"/>
              </w:rPr>
              <w:t>1.1.5</w:t>
            </w:r>
          </w:p>
        </w:tc>
        <w:tc>
          <w:tcPr>
            <w:tcW w:w="5041" w:type="dxa"/>
            <w:tcBorders>
              <w:top w:val="nil"/>
              <w:left w:val="nil"/>
              <w:bottom w:val="single" w:sz="4" w:space="0" w:color="000000"/>
              <w:right w:val="single" w:sz="4" w:space="0" w:color="000000"/>
            </w:tcBorders>
            <w:shd w:val="clear" w:color="auto" w:fill="auto"/>
            <w:vAlign w:val="center"/>
            <w:hideMark/>
          </w:tcPr>
          <w:p w14:paraId="03E6244E" w14:textId="77777777" w:rsidR="00A173F4" w:rsidRPr="00BA263C" w:rsidRDefault="00A173F4" w:rsidP="00270B6E">
            <w:pPr>
              <w:rPr>
                <w:color w:val="413003"/>
              </w:rPr>
            </w:pPr>
            <w:r w:rsidRPr="00BA263C">
              <w:rPr>
                <w:color w:val="413003"/>
              </w:rPr>
              <w:t>Заміна датчика кисню</w:t>
            </w:r>
          </w:p>
        </w:tc>
        <w:tc>
          <w:tcPr>
            <w:tcW w:w="1559" w:type="dxa"/>
            <w:tcBorders>
              <w:top w:val="nil"/>
              <w:left w:val="nil"/>
              <w:bottom w:val="single" w:sz="4" w:space="0" w:color="000000"/>
              <w:right w:val="single" w:sz="4" w:space="0" w:color="000000"/>
            </w:tcBorders>
            <w:shd w:val="clear" w:color="auto" w:fill="auto"/>
            <w:noWrap/>
            <w:vAlign w:val="center"/>
            <w:hideMark/>
          </w:tcPr>
          <w:p w14:paraId="2F0B72B8"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653CC107" w14:textId="77777777" w:rsidR="00A173F4" w:rsidRPr="00BA263C" w:rsidRDefault="00A173F4" w:rsidP="00270B6E">
            <w:pPr>
              <w:jc w:val="center"/>
              <w:rPr>
                <w:color w:val="413003"/>
              </w:rPr>
            </w:pPr>
            <w:r w:rsidRPr="00BA263C">
              <w:rPr>
                <w:color w:val="413003"/>
              </w:rPr>
              <w:t>1</w:t>
            </w:r>
          </w:p>
        </w:tc>
      </w:tr>
      <w:tr w:rsidR="00A173F4" w:rsidRPr="00BA263C" w14:paraId="07B042B3"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572BC4E0" w14:textId="77777777" w:rsidR="00A173F4" w:rsidRPr="00BA263C" w:rsidRDefault="00A173F4" w:rsidP="00270B6E">
            <w:pPr>
              <w:jc w:val="center"/>
              <w:rPr>
                <w:color w:val="413003"/>
              </w:rPr>
            </w:pPr>
            <w:r w:rsidRPr="00BA263C">
              <w:rPr>
                <w:color w:val="413003"/>
              </w:rPr>
              <w:t>1.1.6</w:t>
            </w:r>
          </w:p>
        </w:tc>
        <w:tc>
          <w:tcPr>
            <w:tcW w:w="5041" w:type="dxa"/>
            <w:tcBorders>
              <w:top w:val="nil"/>
              <w:left w:val="nil"/>
              <w:bottom w:val="single" w:sz="4" w:space="0" w:color="000000"/>
              <w:right w:val="single" w:sz="4" w:space="0" w:color="000000"/>
            </w:tcBorders>
            <w:shd w:val="clear" w:color="auto" w:fill="auto"/>
            <w:vAlign w:val="center"/>
            <w:hideMark/>
          </w:tcPr>
          <w:p w14:paraId="452C9A6B" w14:textId="77777777" w:rsidR="00A173F4" w:rsidRPr="00BA263C" w:rsidRDefault="00A173F4" w:rsidP="00270B6E">
            <w:pPr>
              <w:rPr>
                <w:color w:val="413003"/>
              </w:rPr>
            </w:pPr>
            <w:r w:rsidRPr="00BA263C">
              <w:rPr>
                <w:color w:val="413003"/>
              </w:rPr>
              <w:t>Заміна HEPA фільтра</w:t>
            </w:r>
          </w:p>
        </w:tc>
        <w:tc>
          <w:tcPr>
            <w:tcW w:w="1559" w:type="dxa"/>
            <w:tcBorders>
              <w:top w:val="nil"/>
              <w:left w:val="nil"/>
              <w:bottom w:val="single" w:sz="4" w:space="0" w:color="000000"/>
              <w:right w:val="single" w:sz="4" w:space="0" w:color="000000"/>
            </w:tcBorders>
            <w:shd w:val="clear" w:color="auto" w:fill="auto"/>
            <w:noWrap/>
            <w:vAlign w:val="center"/>
            <w:hideMark/>
          </w:tcPr>
          <w:p w14:paraId="5B2CDAEE"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62D7B10E" w14:textId="77777777" w:rsidR="00A173F4" w:rsidRPr="00BA263C" w:rsidRDefault="00A173F4" w:rsidP="00270B6E">
            <w:pPr>
              <w:jc w:val="center"/>
              <w:rPr>
                <w:color w:val="413003"/>
              </w:rPr>
            </w:pPr>
            <w:r w:rsidRPr="00BA263C">
              <w:rPr>
                <w:color w:val="413003"/>
              </w:rPr>
              <w:t>1</w:t>
            </w:r>
          </w:p>
        </w:tc>
      </w:tr>
      <w:tr w:rsidR="00A173F4" w:rsidRPr="00BA263C" w14:paraId="0156DAF5" w14:textId="77777777" w:rsidTr="00270B6E">
        <w:trPr>
          <w:trHeight w:val="579"/>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0FFB93FD" w14:textId="77777777" w:rsidR="00A173F4" w:rsidRPr="00BA263C" w:rsidRDefault="00A173F4" w:rsidP="00270B6E">
            <w:pPr>
              <w:jc w:val="center"/>
              <w:rPr>
                <w:color w:val="413003"/>
              </w:rPr>
            </w:pPr>
            <w:r w:rsidRPr="00BA263C">
              <w:rPr>
                <w:color w:val="413003"/>
              </w:rPr>
              <w:t>1.1.7</w:t>
            </w:r>
          </w:p>
        </w:tc>
        <w:tc>
          <w:tcPr>
            <w:tcW w:w="5041" w:type="dxa"/>
            <w:tcBorders>
              <w:top w:val="nil"/>
              <w:left w:val="nil"/>
              <w:bottom w:val="single" w:sz="4" w:space="0" w:color="000000"/>
              <w:right w:val="single" w:sz="4" w:space="0" w:color="000000"/>
            </w:tcBorders>
            <w:shd w:val="clear" w:color="auto" w:fill="auto"/>
            <w:vAlign w:val="center"/>
            <w:hideMark/>
          </w:tcPr>
          <w:p w14:paraId="416904E9" w14:textId="77777777" w:rsidR="00A173F4" w:rsidRPr="00BA263C" w:rsidRDefault="00A173F4" w:rsidP="00270B6E">
            <w:pPr>
              <w:rPr>
                <w:color w:val="413003"/>
              </w:rPr>
            </w:pPr>
            <w:r w:rsidRPr="00BA263C">
              <w:rPr>
                <w:color w:val="413003"/>
              </w:rPr>
              <w:t>Заміна мембрани клапана видиху багаторазового використання (</w:t>
            </w:r>
            <w:proofErr w:type="spellStart"/>
            <w:r w:rsidRPr="00BA263C">
              <w:rPr>
                <w:color w:val="413003"/>
              </w:rPr>
              <w:t>Infant</w:t>
            </w:r>
            <w:proofErr w:type="spellEnd"/>
            <w:r w:rsidRPr="00BA263C">
              <w:rPr>
                <w:color w:val="413003"/>
              </w:rPr>
              <w:t>)</w:t>
            </w:r>
          </w:p>
        </w:tc>
        <w:tc>
          <w:tcPr>
            <w:tcW w:w="1559" w:type="dxa"/>
            <w:tcBorders>
              <w:top w:val="nil"/>
              <w:left w:val="nil"/>
              <w:bottom w:val="single" w:sz="4" w:space="0" w:color="000000"/>
              <w:right w:val="single" w:sz="4" w:space="0" w:color="000000"/>
            </w:tcBorders>
            <w:shd w:val="clear" w:color="auto" w:fill="auto"/>
            <w:noWrap/>
            <w:vAlign w:val="center"/>
            <w:hideMark/>
          </w:tcPr>
          <w:p w14:paraId="74EE3ABA"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724FFAD6" w14:textId="77777777" w:rsidR="00A173F4" w:rsidRPr="00BA263C" w:rsidRDefault="00A173F4" w:rsidP="00270B6E">
            <w:pPr>
              <w:jc w:val="center"/>
              <w:rPr>
                <w:color w:val="413003"/>
              </w:rPr>
            </w:pPr>
            <w:r w:rsidRPr="00BA263C">
              <w:rPr>
                <w:color w:val="413003"/>
              </w:rPr>
              <w:t>1</w:t>
            </w:r>
          </w:p>
        </w:tc>
      </w:tr>
      <w:tr w:rsidR="00A173F4" w:rsidRPr="00BA263C" w14:paraId="37BBE1CE"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7C1A9C2D" w14:textId="77777777" w:rsidR="00A173F4" w:rsidRPr="00BA263C" w:rsidRDefault="00A173F4" w:rsidP="00270B6E">
            <w:pPr>
              <w:jc w:val="center"/>
              <w:rPr>
                <w:color w:val="413003"/>
              </w:rPr>
            </w:pPr>
            <w:r w:rsidRPr="00BA263C">
              <w:rPr>
                <w:color w:val="413003"/>
              </w:rPr>
              <w:t>1.1.8</w:t>
            </w:r>
          </w:p>
        </w:tc>
        <w:tc>
          <w:tcPr>
            <w:tcW w:w="5041" w:type="dxa"/>
            <w:tcBorders>
              <w:top w:val="nil"/>
              <w:left w:val="nil"/>
              <w:bottom w:val="single" w:sz="4" w:space="0" w:color="000000"/>
              <w:right w:val="single" w:sz="4" w:space="0" w:color="000000"/>
            </w:tcBorders>
            <w:shd w:val="clear" w:color="auto" w:fill="auto"/>
            <w:vAlign w:val="center"/>
            <w:hideMark/>
          </w:tcPr>
          <w:p w14:paraId="23E66CE0" w14:textId="77777777" w:rsidR="00A173F4" w:rsidRPr="00BA263C" w:rsidRDefault="00A173F4" w:rsidP="00270B6E">
            <w:pPr>
              <w:rPr>
                <w:color w:val="413003"/>
              </w:rPr>
            </w:pPr>
            <w:r w:rsidRPr="00BA263C">
              <w:rPr>
                <w:color w:val="413003"/>
              </w:rPr>
              <w:t>Заміна акумуляторної батареї</w:t>
            </w:r>
          </w:p>
        </w:tc>
        <w:tc>
          <w:tcPr>
            <w:tcW w:w="1559" w:type="dxa"/>
            <w:tcBorders>
              <w:top w:val="nil"/>
              <w:left w:val="nil"/>
              <w:bottom w:val="single" w:sz="4" w:space="0" w:color="000000"/>
              <w:right w:val="single" w:sz="4" w:space="0" w:color="000000"/>
            </w:tcBorders>
            <w:shd w:val="clear" w:color="auto" w:fill="auto"/>
            <w:noWrap/>
            <w:vAlign w:val="center"/>
            <w:hideMark/>
          </w:tcPr>
          <w:p w14:paraId="59EB9C6C"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3EDCCD47" w14:textId="77777777" w:rsidR="00A173F4" w:rsidRPr="00BA263C" w:rsidRDefault="00A173F4" w:rsidP="00270B6E">
            <w:pPr>
              <w:jc w:val="center"/>
              <w:rPr>
                <w:color w:val="413003"/>
              </w:rPr>
            </w:pPr>
            <w:r w:rsidRPr="00BA263C">
              <w:rPr>
                <w:color w:val="413003"/>
              </w:rPr>
              <w:t>1</w:t>
            </w:r>
          </w:p>
        </w:tc>
      </w:tr>
      <w:tr w:rsidR="00A173F4" w:rsidRPr="00BA263C" w14:paraId="248D98FE" w14:textId="77777777" w:rsidTr="00270B6E">
        <w:trPr>
          <w:trHeight w:val="579"/>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3DD25A7A" w14:textId="77777777" w:rsidR="00A173F4" w:rsidRPr="00BA263C" w:rsidRDefault="00A173F4" w:rsidP="00270B6E">
            <w:pPr>
              <w:jc w:val="center"/>
              <w:rPr>
                <w:color w:val="413003"/>
              </w:rPr>
            </w:pPr>
            <w:r w:rsidRPr="00BA263C">
              <w:rPr>
                <w:color w:val="413003"/>
              </w:rPr>
              <w:t>1.1.9</w:t>
            </w:r>
          </w:p>
        </w:tc>
        <w:tc>
          <w:tcPr>
            <w:tcW w:w="5041" w:type="dxa"/>
            <w:tcBorders>
              <w:top w:val="nil"/>
              <w:left w:val="nil"/>
              <w:bottom w:val="single" w:sz="4" w:space="0" w:color="000000"/>
              <w:right w:val="single" w:sz="4" w:space="0" w:color="000000"/>
            </w:tcBorders>
            <w:shd w:val="clear" w:color="auto" w:fill="auto"/>
            <w:vAlign w:val="center"/>
            <w:hideMark/>
          </w:tcPr>
          <w:p w14:paraId="49E5CE77" w14:textId="77777777" w:rsidR="00A173F4" w:rsidRPr="00BA263C" w:rsidRDefault="00A173F4" w:rsidP="00270B6E">
            <w:pPr>
              <w:rPr>
                <w:color w:val="413003"/>
              </w:rPr>
            </w:pPr>
            <w:r w:rsidRPr="00BA263C">
              <w:rPr>
                <w:color w:val="413003"/>
              </w:rPr>
              <w:t>Заміна датчика потоку одноразового використання для дорослих</w:t>
            </w:r>
          </w:p>
        </w:tc>
        <w:tc>
          <w:tcPr>
            <w:tcW w:w="1559" w:type="dxa"/>
            <w:tcBorders>
              <w:top w:val="nil"/>
              <w:left w:val="nil"/>
              <w:bottom w:val="single" w:sz="4" w:space="0" w:color="000000"/>
              <w:right w:val="single" w:sz="4" w:space="0" w:color="000000"/>
            </w:tcBorders>
            <w:shd w:val="clear" w:color="auto" w:fill="auto"/>
            <w:noWrap/>
            <w:vAlign w:val="center"/>
            <w:hideMark/>
          </w:tcPr>
          <w:p w14:paraId="102E8466"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6399F65F" w14:textId="77777777" w:rsidR="00A173F4" w:rsidRPr="00BA263C" w:rsidRDefault="00A173F4" w:rsidP="00270B6E">
            <w:pPr>
              <w:jc w:val="center"/>
              <w:rPr>
                <w:color w:val="413003"/>
              </w:rPr>
            </w:pPr>
            <w:r w:rsidRPr="00BA263C">
              <w:rPr>
                <w:color w:val="413003"/>
              </w:rPr>
              <w:t>5</w:t>
            </w:r>
          </w:p>
        </w:tc>
      </w:tr>
      <w:tr w:rsidR="00A173F4" w:rsidRPr="00BA263C" w14:paraId="50449193" w14:textId="77777777" w:rsidTr="00270B6E">
        <w:trPr>
          <w:trHeight w:val="579"/>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67331320" w14:textId="77777777" w:rsidR="00A173F4" w:rsidRPr="00BA263C" w:rsidRDefault="00A173F4" w:rsidP="00270B6E">
            <w:pPr>
              <w:jc w:val="center"/>
              <w:rPr>
                <w:color w:val="413003"/>
              </w:rPr>
            </w:pPr>
            <w:r w:rsidRPr="00BA263C">
              <w:rPr>
                <w:color w:val="413003"/>
              </w:rPr>
              <w:t>1.1.10</w:t>
            </w:r>
          </w:p>
        </w:tc>
        <w:tc>
          <w:tcPr>
            <w:tcW w:w="5041" w:type="dxa"/>
            <w:tcBorders>
              <w:top w:val="nil"/>
              <w:left w:val="nil"/>
              <w:bottom w:val="single" w:sz="4" w:space="0" w:color="000000"/>
              <w:right w:val="single" w:sz="4" w:space="0" w:color="000000"/>
            </w:tcBorders>
            <w:shd w:val="clear" w:color="auto" w:fill="auto"/>
            <w:vAlign w:val="center"/>
            <w:hideMark/>
          </w:tcPr>
          <w:p w14:paraId="2D719E13" w14:textId="77777777" w:rsidR="00A173F4" w:rsidRPr="00BA263C" w:rsidRDefault="00A173F4" w:rsidP="00270B6E">
            <w:pPr>
              <w:rPr>
                <w:color w:val="413003"/>
              </w:rPr>
            </w:pPr>
            <w:r w:rsidRPr="00BA263C">
              <w:rPr>
                <w:color w:val="413003"/>
              </w:rPr>
              <w:t>Заміна датчика потоку одноразового використання для немовлят</w:t>
            </w:r>
          </w:p>
        </w:tc>
        <w:tc>
          <w:tcPr>
            <w:tcW w:w="1559" w:type="dxa"/>
            <w:tcBorders>
              <w:top w:val="nil"/>
              <w:left w:val="nil"/>
              <w:bottom w:val="single" w:sz="4" w:space="0" w:color="000000"/>
              <w:right w:val="single" w:sz="4" w:space="0" w:color="000000"/>
            </w:tcBorders>
            <w:shd w:val="clear" w:color="auto" w:fill="auto"/>
            <w:noWrap/>
            <w:vAlign w:val="center"/>
            <w:hideMark/>
          </w:tcPr>
          <w:p w14:paraId="7ACA0482"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331BE59D" w14:textId="77777777" w:rsidR="00A173F4" w:rsidRPr="00BA263C" w:rsidRDefault="00A173F4" w:rsidP="00270B6E">
            <w:pPr>
              <w:jc w:val="center"/>
              <w:rPr>
                <w:color w:val="413003"/>
              </w:rPr>
            </w:pPr>
            <w:r w:rsidRPr="00BA263C">
              <w:rPr>
                <w:color w:val="413003"/>
              </w:rPr>
              <w:t>5</w:t>
            </w:r>
          </w:p>
        </w:tc>
      </w:tr>
      <w:tr w:rsidR="00A173F4" w:rsidRPr="00BA263C" w14:paraId="5AE7BF84" w14:textId="77777777" w:rsidTr="00270B6E">
        <w:trPr>
          <w:trHeight w:val="579"/>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71919090" w14:textId="77777777" w:rsidR="00A173F4" w:rsidRPr="00BA263C" w:rsidRDefault="00A173F4" w:rsidP="00270B6E">
            <w:pPr>
              <w:jc w:val="center"/>
              <w:rPr>
                <w:color w:val="413003"/>
              </w:rPr>
            </w:pPr>
            <w:r w:rsidRPr="00BA263C">
              <w:rPr>
                <w:color w:val="413003"/>
              </w:rPr>
              <w:t>1.1.11</w:t>
            </w:r>
          </w:p>
        </w:tc>
        <w:tc>
          <w:tcPr>
            <w:tcW w:w="5041" w:type="dxa"/>
            <w:tcBorders>
              <w:top w:val="nil"/>
              <w:left w:val="nil"/>
              <w:bottom w:val="single" w:sz="4" w:space="0" w:color="000000"/>
              <w:right w:val="single" w:sz="4" w:space="0" w:color="000000"/>
            </w:tcBorders>
            <w:shd w:val="clear" w:color="auto" w:fill="auto"/>
            <w:vAlign w:val="center"/>
            <w:hideMark/>
          </w:tcPr>
          <w:p w14:paraId="7863CE2F" w14:textId="77777777" w:rsidR="00A173F4" w:rsidRPr="00BA263C" w:rsidRDefault="00A173F4" w:rsidP="00270B6E">
            <w:pPr>
              <w:rPr>
                <w:color w:val="413003"/>
              </w:rPr>
            </w:pPr>
            <w:r w:rsidRPr="00BA263C">
              <w:rPr>
                <w:color w:val="413003"/>
              </w:rPr>
              <w:t xml:space="preserve">Заміна дихального </w:t>
            </w:r>
            <w:proofErr w:type="spellStart"/>
            <w:r w:rsidRPr="00BA263C">
              <w:rPr>
                <w:color w:val="413003"/>
              </w:rPr>
              <w:t>контура</w:t>
            </w:r>
            <w:proofErr w:type="spellEnd"/>
            <w:r w:rsidRPr="00BA263C">
              <w:rPr>
                <w:color w:val="413003"/>
              </w:rPr>
              <w:t xml:space="preserve"> багаторазового використання без підігріву (дорослий)</w:t>
            </w:r>
          </w:p>
        </w:tc>
        <w:tc>
          <w:tcPr>
            <w:tcW w:w="1559" w:type="dxa"/>
            <w:tcBorders>
              <w:top w:val="nil"/>
              <w:left w:val="nil"/>
              <w:bottom w:val="single" w:sz="4" w:space="0" w:color="000000"/>
              <w:right w:val="single" w:sz="4" w:space="0" w:color="000000"/>
            </w:tcBorders>
            <w:shd w:val="clear" w:color="auto" w:fill="auto"/>
            <w:noWrap/>
            <w:vAlign w:val="center"/>
            <w:hideMark/>
          </w:tcPr>
          <w:p w14:paraId="27E9D43E"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5080090B" w14:textId="77777777" w:rsidR="00A173F4" w:rsidRPr="00BA263C" w:rsidRDefault="00A173F4" w:rsidP="00270B6E">
            <w:pPr>
              <w:jc w:val="center"/>
              <w:rPr>
                <w:color w:val="413003"/>
              </w:rPr>
            </w:pPr>
            <w:r w:rsidRPr="00BA263C">
              <w:rPr>
                <w:color w:val="413003"/>
              </w:rPr>
              <w:t>1</w:t>
            </w:r>
          </w:p>
        </w:tc>
      </w:tr>
      <w:tr w:rsidR="00A173F4" w:rsidRPr="00BA263C" w14:paraId="4591C8C4" w14:textId="77777777" w:rsidTr="00270B6E">
        <w:trPr>
          <w:trHeight w:val="579"/>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07AB009A" w14:textId="77777777" w:rsidR="00A173F4" w:rsidRPr="00BA263C" w:rsidRDefault="00A173F4" w:rsidP="00270B6E">
            <w:pPr>
              <w:jc w:val="center"/>
              <w:rPr>
                <w:color w:val="413003"/>
              </w:rPr>
            </w:pPr>
            <w:r w:rsidRPr="00BA263C">
              <w:rPr>
                <w:color w:val="413003"/>
              </w:rPr>
              <w:t>1.1.12</w:t>
            </w:r>
          </w:p>
        </w:tc>
        <w:tc>
          <w:tcPr>
            <w:tcW w:w="5041" w:type="dxa"/>
            <w:tcBorders>
              <w:top w:val="nil"/>
              <w:left w:val="nil"/>
              <w:bottom w:val="single" w:sz="4" w:space="0" w:color="000000"/>
              <w:right w:val="single" w:sz="4" w:space="0" w:color="000000"/>
            </w:tcBorders>
            <w:shd w:val="clear" w:color="auto" w:fill="auto"/>
            <w:vAlign w:val="center"/>
            <w:hideMark/>
          </w:tcPr>
          <w:p w14:paraId="4642B8A9" w14:textId="77777777" w:rsidR="00A173F4" w:rsidRPr="00BA263C" w:rsidRDefault="00A173F4" w:rsidP="00270B6E">
            <w:pPr>
              <w:rPr>
                <w:color w:val="413003"/>
              </w:rPr>
            </w:pPr>
            <w:r w:rsidRPr="00BA263C">
              <w:rPr>
                <w:color w:val="413003"/>
              </w:rPr>
              <w:t>Заміна дихального контуру багаторазового використання без підігріву для новонароджених</w:t>
            </w:r>
          </w:p>
        </w:tc>
        <w:tc>
          <w:tcPr>
            <w:tcW w:w="1559" w:type="dxa"/>
            <w:tcBorders>
              <w:top w:val="nil"/>
              <w:left w:val="nil"/>
              <w:bottom w:val="single" w:sz="4" w:space="0" w:color="000000"/>
              <w:right w:val="single" w:sz="4" w:space="0" w:color="000000"/>
            </w:tcBorders>
            <w:shd w:val="clear" w:color="auto" w:fill="auto"/>
            <w:noWrap/>
            <w:vAlign w:val="center"/>
            <w:hideMark/>
          </w:tcPr>
          <w:p w14:paraId="08B30563"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56E26036" w14:textId="77777777" w:rsidR="00A173F4" w:rsidRPr="00BA263C" w:rsidRDefault="00A173F4" w:rsidP="00270B6E">
            <w:pPr>
              <w:jc w:val="center"/>
              <w:rPr>
                <w:color w:val="413003"/>
              </w:rPr>
            </w:pPr>
            <w:r w:rsidRPr="00BA263C">
              <w:rPr>
                <w:color w:val="413003"/>
              </w:rPr>
              <w:t>1</w:t>
            </w:r>
          </w:p>
        </w:tc>
      </w:tr>
      <w:tr w:rsidR="00A173F4" w:rsidRPr="00BA263C" w14:paraId="1F5C792D"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04CFD62E" w14:textId="77777777" w:rsidR="00A173F4" w:rsidRPr="00BA263C" w:rsidRDefault="00A173F4" w:rsidP="00270B6E">
            <w:pPr>
              <w:jc w:val="center"/>
              <w:rPr>
                <w:color w:val="413003"/>
              </w:rPr>
            </w:pPr>
            <w:r w:rsidRPr="00BA263C">
              <w:rPr>
                <w:color w:val="413003"/>
              </w:rPr>
              <w:t>1.1.13</w:t>
            </w:r>
          </w:p>
        </w:tc>
        <w:tc>
          <w:tcPr>
            <w:tcW w:w="5041" w:type="dxa"/>
            <w:tcBorders>
              <w:top w:val="nil"/>
              <w:left w:val="nil"/>
              <w:bottom w:val="single" w:sz="4" w:space="0" w:color="000000"/>
              <w:right w:val="single" w:sz="4" w:space="0" w:color="000000"/>
            </w:tcBorders>
            <w:shd w:val="clear" w:color="auto" w:fill="auto"/>
            <w:vAlign w:val="center"/>
            <w:hideMark/>
          </w:tcPr>
          <w:p w14:paraId="3458676C" w14:textId="77777777" w:rsidR="00A173F4" w:rsidRPr="00BA263C" w:rsidRDefault="00A173F4" w:rsidP="00270B6E">
            <w:pPr>
              <w:rPr>
                <w:color w:val="413003"/>
              </w:rPr>
            </w:pPr>
            <w:r w:rsidRPr="00BA263C">
              <w:rPr>
                <w:color w:val="413003"/>
              </w:rPr>
              <w:t xml:space="preserve">Проведення повної </w:t>
            </w:r>
            <w:proofErr w:type="spellStart"/>
            <w:r w:rsidRPr="00BA263C">
              <w:rPr>
                <w:color w:val="413003"/>
              </w:rPr>
              <w:t>калібровки</w:t>
            </w:r>
            <w:proofErr w:type="spellEnd"/>
          </w:p>
        </w:tc>
        <w:tc>
          <w:tcPr>
            <w:tcW w:w="1559" w:type="dxa"/>
            <w:tcBorders>
              <w:top w:val="nil"/>
              <w:left w:val="nil"/>
              <w:bottom w:val="single" w:sz="4" w:space="0" w:color="000000"/>
              <w:right w:val="single" w:sz="4" w:space="0" w:color="000000"/>
            </w:tcBorders>
            <w:shd w:val="clear" w:color="auto" w:fill="auto"/>
            <w:noWrap/>
            <w:vAlign w:val="center"/>
            <w:hideMark/>
          </w:tcPr>
          <w:p w14:paraId="3E84635D"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77E4CB69" w14:textId="77777777" w:rsidR="00A173F4" w:rsidRPr="00BA263C" w:rsidRDefault="00A173F4" w:rsidP="00270B6E">
            <w:pPr>
              <w:jc w:val="center"/>
              <w:rPr>
                <w:color w:val="413003"/>
              </w:rPr>
            </w:pPr>
            <w:r w:rsidRPr="00BA263C">
              <w:rPr>
                <w:color w:val="413003"/>
              </w:rPr>
              <w:t>1</w:t>
            </w:r>
          </w:p>
        </w:tc>
      </w:tr>
      <w:tr w:rsidR="00A173F4" w:rsidRPr="00BA263C" w14:paraId="19B9B3D9" w14:textId="77777777" w:rsidTr="00270B6E">
        <w:trPr>
          <w:trHeight w:val="381"/>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14:paraId="39A17AE8" w14:textId="77777777" w:rsidR="00A173F4" w:rsidRPr="00BA263C" w:rsidRDefault="00A173F4" w:rsidP="00270B6E">
            <w:pPr>
              <w:jc w:val="center"/>
              <w:rPr>
                <w:color w:val="413003"/>
              </w:rPr>
            </w:pPr>
            <w:r w:rsidRPr="00BA263C">
              <w:rPr>
                <w:color w:val="413003"/>
              </w:rPr>
              <w:t>1.1.14</w:t>
            </w:r>
          </w:p>
        </w:tc>
        <w:tc>
          <w:tcPr>
            <w:tcW w:w="5041" w:type="dxa"/>
            <w:tcBorders>
              <w:top w:val="nil"/>
              <w:left w:val="nil"/>
              <w:bottom w:val="single" w:sz="4" w:space="0" w:color="000000"/>
              <w:right w:val="single" w:sz="4" w:space="0" w:color="000000"/>
            </w:tcBorders>
            <w:shd w:val="clear" w:color="auto" w:fill="auto"/>
            <w:vAlign w:val="center"/>
            <w:hideMark/>
          </w:tcPr>
          <w:p w14:paraId="02F4DBAB" w14:textId="77777777" w:rsidR="00A173F4" w:rsidRPr="00BA263C" w:rsidRDefault="00A173F4" w:rsidP="00270B6E">
            <w:pPr>
              <w:rPr>
                <w:color w:val="413003"/>
              </w:rPr>
            </w:pPr>
            <w:r w:rsidRPr="00BA263C">
              <w:rPr>
                <w:color w:val="413003"/>
              </w:rPr>
              <w:t>Проведення загального тестування</w:t>
            </w:r>
          </w:p>
        </w:tc>
        <w:tc>
          <w:tcPr>
            <w:tcW w:w="1559" w:type="dxa"/>
            <w:tcBorders>
              <w:top w:val="nil"/>
              <w:left w:val="nil"/>
              <w:bottom w:val="single" w:sz="4" w:space="0" w:color="000000"/>
              <w:right w:val="single" w:sz="4" w:space="0" w:color="000000"/>
            </w:tcBorders>
            <w:shd w:val="clear" w:color="auto" w:fill="auto"/>
            <w:noWrap/>
            <w:vAlign w:val="center"/>
            <w:hideMark/>
          </w:tcPr>
          <w:p w14:paraId="069BEA3E" w14:textId="77777777" w:rsidR="00A173F4" w:rsidRPr="00BA263C" w:rsidRDefault="00A173F4" w:rsidP="00270B6E">
            <w:pPr>
              <w:jc w:val="center"/>
              <w:rPr>
                <w:color w:val="413003"/>
              </w:rPr>
            </w:pPr>
            <w:proofErr w:type="spellStart"/>
            <w:r w:rsidRPr="00BA263C">
              <w:rPr>
                <w:color w:val="413003"/>
              </w:rPr>
              <w:t>Посл</w:t>
            </w:r>
            <w:proofErr w:type="spellEnd"/>
            <w:r w:rsidRPr="00BA263C">
              <w:rPr>
                <w:color w:val="413003"/>
              </w:rPr>
              <w:t>.</w:t>
            </w:r>
          </w:p>
        </w:tc>
        <w:tc>
          <w:tcPr>
            <w:tcW w:w="1560" w:type="dxa"/>
            <w:tcBorders>
              <w:top w:val="nil"/>
              <w:left w:val="nil"/>
              <w:bottom w:val="single" w:sz="4" w:space="0" w:color="000000"/>
              <w:right w:val="single" w:sz="4" w:space="0" w:color="000000"/>
            </w:tcBorders>
            <w:shd w:val="clear" w:color="auto" w:fill="auto"/>
            <w:noWrap/>
            <w:vAlign w:val="center"/>
            <w:hideMark/>
          </w:tcPr>
          <w:p w14:paraId="26760C11" w14:textId="77777777" w:rsidR="00A173F4" w:rsidRPr="00BA263C" w:rsidRDefault="00A173F4" w:rsidP="00270B6E">
            <w:pPr>
              <w:jc w:val="center"/>
              <w:rPr>
                <w:color w:val="413003"/>
              </w:rPr>
            </w:pPr>
            <w:r w:rsidRPr="00BA263C">
              <w:rPr>
                <w:color w:val="413003"/>
              </w:rPr>
              <w:t>1</w:t>
            </w:r>
          </w:p>
        </w:tc>
      </w:tr>
    </w:tbl>
    <w:p w14:paraId="305379B3" w14:textId="77777777" w:rsidR="003673F5" w:rsidRDefault="003673F5" w:rsidP="003673F5">
      <w:bookmarkStart w:id="0" w:name="_GoBack"/>
      <w:bookmarkEnd w:id="0"/>
    </w:p>
    <w:p w14:paraId="0D709030" w14:textId="77777777" w:rsidR="003673F5" w:rsidRDefault="003673F5" w:rsidP="003673F5">
      <w:pPr>
        <w:pStyle w:val="a3"/>
        <w:numPr>
          <w:ilvl w:val="0"/>
          <w:numId w:val="27"/>
        </w:numPr>
        <w:spacing w:before="120" w:line="276" w:lineRule="auto"/>
        <w:ind w:left="426" w:hanging="426"/>
        <w:jc w:val="both"/>
      </w:pPr>
      <w:r>
        <w:t>Надання послуг передбачає приїзд інженера на територію Замовника.</w:t>
      </w:r>
    </w:p>
    <w:p w14:paraId="325831D8" w14:textId="77777777" w:rsidR="003673F5" w:rsidRDefault="003673F5" w:rsidP="003673F5">
      <w:pPr>
        <w:pStyle w:val="a3"/>
        <w:numPr>
          <w:ilvl w:val="0"/>
          <w:numId w:val="27"/>
        </w:numPr>
        <w:spacing w:before="120" w:line="276" w:lineRule="auto"/>
        <w:ind w:left="426" w:hanging="426"/>
        <w:jc w:val="both"/>
      </w:pPr>
      <w:r>
        <w:t>Вартість послуг повинна включати вартість витратних матеріалів, необхідних для надання послуг.</w:t>
      </w:r>
    </w:p>
    <w:p w14:paraId="7C7CEBFB" w14:textId="77777777" w:rsidR="003673F5" w:rsidRPr="00EF4154" w:rsidRDefault="003673F5" w:rsidP="003673F5">
      <w:pPr>
        <w:pStyle w:val="a3"/>
        <w:numPr>
          <w:ilvl w:val="0"/>
          <w:numId w:val="27"/>
        </w:numPr>
        <w:tabs>
          <w:tab w:val="left" w:pos="426"/>
        </w:tabs>
        <w:spacing w:before="120" w:line="276" w:lineRule="auto"/>
        <w:ind w:left="426" w:hanging="426"/>
        <w:jc w:val="both"/>
      </w:pPr>
      <w:r>
        <w:t>Учасник повинен підтвердити можливість надання послуг, належної якості та в терміни, визначені цією Документацією та пропозицією Учасника.</w:t>
      </w:r>
      <w:r>
        <w:rPr>
          <w:i/>
        </w:rPr>
        <w:t xml:space="preserve"> </w:t>
      </w:r>
      <w:r>
        <w:t xml:space="preserve">На підтвердження Учасник повинен надати оригінал листа виробника обладнання, що підлягає ремонту та/або технічному обслуговуванню (представництва, філії виробника – якщо їх відповідні повноваження поширюються на територію України), або представника, </w:t>
      </w:r>
      <w:r>
        <w:lastRenderedPageBreak/>
        <w:t>дилера, дистриб'ютора, офіційно уповноваженого на це виробником,</w:t>
      </w:r>
      <w:r>
        <w:rPr>
          <w:i/>
        </w:rPr>
        <w:t xml:space="preserve"> </w:t>
      </w:r>
      <w:r>
        <w:t xml:space="preserve">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w:t>
      </w:r>
      <w:r>
        <w:rPr>
          <w:bCs/>
        </w:rPr>
        <w:t>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5F75E515" w14:textId="77777777" w:rsidR="003673F5" w:rsidRDefault="003673F5" w:rsidP="003673F5">
      <w:pPr>
        <w:pStyle w:val="a3"/>
        <w:numPr>
          <w:ilvl w:val="0"/>
          <w:numId w:val="27"/>
        </w:numPr>
        <w:tabs>
          <w:tab w:val="left" w:pos="426"/>
        </w:tabs>
        <w:spacing w:before="120" w:line="276" w:lineRule="auto"/>
        <w:ind w:left="426" w:hanging="426"/>
        <w:jc w:val="both"/>
      </w:pPr>
    </w:p>
    <w:p w14:paraId="48E23BDB" w14:textId="77777777" w:rsidR="003673F5" w:rsidRPr="00EF4154" w:rsidRDefault="003673F5" w:rsidP="0036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17"/>
          <w:szCs w:val="17"/>
          <w:lang w:val="x-none" w:eastAsia="ar-SA"/>
        </w:rPr>
      </w:pPr>
      <w:r w:rsidRPr="003C2F8B">
        <w:rPr>
          <w:i/>
          <w:color w:val="000000"/>
          <w:lang w:val="x-none" w:eastAsia="ar-SA"/>
        </w:rPr>
        <w:t xml:space="preserve">Примітка: У разі, якщо у даних технічних вимогах йде посилання на конкретну марку чи фірму, </w:t>
      </w:r>
      <w:r w:rsidRPr="00EF4154">
        <w:rPr>
          <w:i/>
          <w:color w:val="000000"/>
          <w:lang w:val="x-none" w:eastAsia="ar-SA"/>
        </w:rPr>
        <w:t>патент, конструкцію або тип товару, то вважається, що медико-технічні вимоги містять вираз (або еквівалент).</w:t>
      </w:r>
    </w:p>
    <w:p w14:paraId="2A1F299C" w14:textId="77777777" w:rsidR="003673F5" w:rsidRPr="00EF4154" w:rsidRDefault="003673F5" w:rsidP="003673F5">
      <w:pPr>
        <w:widowControl w:val="0"/>
        <w:tabs>
          <w:tab w:val="left" w:pos="2811"/>
          <w:tab w:val="left" w:pos="4860"/>
        </w:tabs>
        <w:autoSpaceDE w:val="0"/>
        <w:autoSpaceDN w:val="0"/>
        <w:adjustRightInd w:val="0"/>
      </w:pPr>
    </w:p>
    <w:p w14:paraId="088C127A" w14:textId="77777777" w:rsidR="003673F5" w:rsidRPr="00EF4154" w:rsidRDefault="003673F5" w:rsidP="003673F5">
      <w:pPr>
        <w:jc w:val="both"/>
        <w:rPr>
          <w:bCs/>
        </w:rPr>
      </w:pPr>
      <w:r w:rsidRPr="00EF4154">
        <w:rPr>
          <w:b/>
        </w:rPr>
        <w:t xml:space="preserve">Очікувана вартість закупівлі складає:  </w:t>
      </w:r>
      <w:r>
        <w:rPr>
          <w:b/>
        </w:rPr>
        <w:t>124 013,</w:t>
      </w:r>
      <w:r w:rsidRPr="00EF4154">
        <w:rPr>
          <w:b/>
        </w:rPr>
        <w:t>33 грн (</w:t>
      </w:r>
      <w:r>
        <w:rPr>
          <w:b/>
        </w:rPr>
        <w:t xml:space="preserve">сто двадцять чотири </w:t>
      </w:r>
      <w:r w:rsidRPr="00EF4154">
        <w:rPr>
          <w:b/>
        </w:rPr>
        <w:t xml:space="preserve">тисяч </w:t>
      </w:r>
      <w:r>
        <w:rPr>
          <w:b/>
        </w:rPr>
        <w:t>тринадцять</w:t>
      </w:r>
      <w:r w:rsidRPr="00EF4154">
        <w:rPr>
          <w:b/>
        </w:rPr>
        <w:t xml:space="preserve"> гри</w:t>
      </w:r>
      <w:r>
        <w:rPr>
          <w:b/>
        </w:rPr>
        <w:t>вень</w:t>
      </w:r>
      <w:r w:rsidRPr="00EF4154">
        <w:rPr>
          <w:b/>
        </w:rPr>
        <w:t xml:space="preserve"> 33 коп.) з ПДВ.</w:t>
      </w:r>
    </w:p>
    <w:p w14:paraId="5DCA2A8D" w14:textId="77777777" w:rsidR="006F789A" w:rsidRPr="00311B34" w:rsidRDefault="006F789A" w:rsidP="006F789A">
      <w:pPr>
        <w:rPr>
          <w:b/>
          <w:bCs/>
          <w:i/>
          <w:iCs/>
        </w:rPr>
      </w:pPr>
    </w:p>
    <w:sectPr w:rsidR="006F789A" w:rsidRPr="00311B3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3"/>
  </w:num>
  <w:num w:numId="3">
    <w:abstractNumId w:val="13"/>
  </w:num>
  <w:num w:numId="4">
    <w:abstractNumId w:val="7"/>
  </w:num>
  <w:num w:numId="5">
    <w:abstractNumId w:val="9"/>
  </w:num>
  <w:num w:numId="6">
    <w:abstractNumId w:val="16"/>
  </w:num>
  <w:num w:numId="7">
    <w:abstractNumId w:val="21"/>
  </w:num>
  <w:num w:numId="8">
    <w:abstractNumId w:val="25"/>
  </w:num>
  <w:num w:numId="9">
    <w:abstractNumId w:val="10"/>
  </w:num>
  <w:num w:numId="10">
    <w:abstractNumId w:val="24"/>
  </w:num>
  <w:num w:numId="11">
    <w:abstractNumId w:val="17"/>
  </w:num>
  <w:num w:numId="12">
    <w:abstractNumId w:val="20"/>
  </w:num>
  <w:num w:numId="13">
    <w:abstractNumId w:val="23"/>
  </w:num>
  <w:num w:numId="14">
    <w:abstractNumId w:val="26"/>
  </w:num>
  <w:num w:numId="15">
    <w:abstractNumId w:val="19"/>
  </w:num>
  <w:num w:numId="16">
    <w:abstractNumId w:val="14"/>
  </w:num>
  <w:num w:numId="17">
    <w:abstractNumId w:val="6"/>
  </w:num>
  <w:num w:numId="18">
    <w:abstractNumId w:val="5"/>
  </w:num>
  <w:num w:numId="19">
    <w:abstractNumId w:val="12"/>
  </w:num>
  <w:num w:numId="20">
    <w:abstractNumId w:val="15"/>
  </w:num>
  <w:num w:numId="21">
    <w:abstractNumId w:val="8"/>
  </w:num>
  <w:num w:numId="22">
    <w:abstractNumId w:val="22"/>
  </w:num>
  <w:num w:numId="23">
    <w:abstractNumId w:val="18"/>
  </w:num>
  <w:num w:numId="24">
    <w:abstractNumId w:val="4"/>
  </w:num>
  <w:num w:numId="25">
    <w:abstractNumId w:val="11"/>
  </w:num>
  <w:num w:numId="26">
    <w:abstractNumId w:val="27"/>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673F5"/>
    <w:rsid w:val="0039040B"/>
    <w:rsid w:val="004432B0"/>
    <w:rsid w:val="004C00B2"/>
    <w:rsid w:val="004E3803"/>
    <w:rsid w:val="0052468D"/>
    <w:rsid w:val="005425ED"/>
    <w:rsid w:val="005579A1"/>
    <w:rsid w:val="00577FCD"/>
    <w:rsid w:val="005C00C0"/>
    <w:rsid w:val="005F5AA5"/>
    <w:rsid w:val="00677E09"/>
    <w:rsid w:val="006F789A"/>
    <w:rsid w:val="007018F6"/>
    <w:rsid w:val="007E3784"/>
    <w:rsid w:val="008B6B7A"/>
    <w:rsid w:val="008E1B80"/>
    <w:rsid w:val="00981353"/>
    <w:rsid w:val="00984C0B"/>
    <w:rsid w:val="009E0CE2"/>
    <w:rsid w:val="00A029A4"/>
    <w:rsid w:val="00A053B7"/>
    <w:rsid w:val="00A173F4"/>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85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1749</Words>
  <Characters>998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54</cp:revision>
  <cp:lastPrinted>2025-01-20T07:48:00Z</cp:lastPrinted>
  <dcterms:created xsi:type="dcterms:W3CDTF">2025-01-30T07:30:00Z</dcterms:created>
  <dcterms:modified xsi:type="dcterms:W3CDTF">2025-10-31T11:33:00Z</dcterms:modified>
</cp:coreProperties>
</file>