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680E97F6" w14:textId="77777777" w:rsidR="00DD0050" w:rsidRPr="00B82DD7" w:rsidRDefault="00DD0050" w:rsidP="00DD0050">
      <w:pPr>
        <w:jc w:val="center"/>
        <w:outlineLvl w:val="0"/>
        <w:rPr>
          <w:b/>
          <w:sz w:val="28"/>
          <w:szCs w:val="28"/>
        </w:rPr>
      </w:pPr>
      <w:r w:rsidRPr="00B82DD7">
        <w:rPr>
          <w:b/>
          <w:sz w:val="28"/>
          <w:szCs w:val="28"/>
        </w:rPr>
        <w:t xml:space="preserve">ТЕХНІЧНІ ВИМОГИ </w:t>
      </w:r>
    </w:p>
    <w:p w14:paraId="12E89821" w14:textId="77777777" w:rsidR="00DD0050" w:rsidRDefault="00DD0050" w:rsidP="00DD0050">
      <w:pPr>
        <w:spacing w:after="60"/>
        <w:jc w:val="center"/>
        <w:outlineLvl w:val="0"/>
        <w:rPr>
          <w:b/>
          <w:sz w:val="28"/>
          <w:szCs w:val="28"/>
        </w:rPr>
      </w:pPr>
      <w:r w:rsidRPr="00B82DD7">
        <w:rPr>
          <w:b/>
          <w:sz w:val="28"/>
          <w:szCs w:val="28"/>
        </w:rPr>
        <w:t>на закупівлю по предмету</w:t>
      </w:r>
    </w:p>
    <w:p w14:paraId="2500339F" w14:textId="77777777" w:rsidR="00DD0050" w:rsidRDefault="00DD0050" w:rsidP="00DD0050">
      <w:pPr>
        <w:jc w:val="center"/>
        <w:rPr>
          <w:b/>
          <w:color w:val="333333"/>
        </w:rPr>
      </w:pPr>
      <w:bookmarkStart w:id="0" w:name="_Hlk187825384"/>
      <w:bookmarkStart w:id="1" w:name="_Hlk55388490"/>
      <w:r w:rsidRPr="00D82AA3">
        <w:rPr>
          <w:b/>
          <w:color w:val="333333"/>
        </w:rPr>
        <w:t>Послуги з технічного обслуговування басейну та системи очищення води)</w:t>
      </w:r>
    </w:p>
    <w:p w14:paraId="0020E2B7" w14:textId="4A686FC0" w:rsidR="00DD0050" w:rsidRDefault="00DD0050" w:rsidP="00DD0050">
      <w:pPr>
        <w:jc w:val="center"/>
        <w:rPr>
          <w:b/>
          <w:color w:val="333333"/>
        </w:rPr>
      </w:pPr>
      <w:r>
        <w:rPr>
          <w:b/>
          <w:color w:val="333333"/>
        </w:rPr>
        <w:t xml:space="preserve">код </w:t>
      </w:r>
      <w:r w:rsidRPr="00D82AA3">
        <w:rPr>
          <w:b/>
          <w:color w:val="333333"/>
        </w:rPr>
        <w:t>ДК 021:2015: 50510000-3 - Послуги з ремонту і технічного обслуговування насосів, клапанів, кранів і металевих контейнерів</w:t>
      </w:r>
    </w:p>
    <w:p w14:paraId="07C98380" w14:textId="220D7035" w:rsidR="00DD0050" w:rsidRDefault="00DD0050" w:rsidP="004D0E05">
      <w:pPr>
        <w:rPr>
          <w:b/>
          <w:color w:val="333333"/>
        </w:rPr>
      </w:pPr>
    </w:p>
    <w:bookmarkEnd w:id="0"/>
    <w:p w14:paraId="58C66CD6" w14:textId="77777777" w:rsidR="00DD0050" w:rsidRDefault="00DD0050" w:rsidP="00DD0050">
      <w:pPr>
        <w:jc w:val="center"/>
        <w:rPr>
          <w:b/>
          <w:color w:val="000000"/>
          <w:sz w:val="27"/>
          <w:szCs w:val="27"/>
        </w:rPr>
      </w:pPr>
    </w:p>
    <w:p w14:paraId="4F4A3571" w14:textId="77777777" w:rsidR="00DD0050" w:rsidRPr="00984C0B" w:rsidRDefault="00DD0050" w:rsidP="00DD0050">
      <w:pPr>
        <w:jc w:val="center"/>
        <w:rPr>
          <w:b/>
        </w:rPr>
      </w:pPr>
      <w:r>
        <w:rPr>
          <w:rFonts w:eastAsia="Courier New"/>
          <w:b/>
          <w:bCs/>
          <w:lang w:eastAsia="uk-UA"/>
        </w:rPr>
        <w:t xml:space="preserve">Технічні вимоги/ Технічна специфікація :  </w:t>
      </w:r>
      <w:r w:rsidRPr="00570001">
        <w:rPr>
          <w:rFonts w:eastAsia="Courier New"/>
          <w:b/>
          <w:bCs/>
          <w:lang w:eastAsia="uk-UA"/>
        </w:rPr>
        <w:t>Послуги з обслуговування басейнів</w:t>
      </w:r>
    </w:p>
    <w:tbl>
      <w:tblPr>
        <w:tblStyle w:val="a7"/>
        <w:tblW w:w="10486" w:type="dxa"/>
        <w:tblInd w:w="-572" w:type="dxa"/>
        <w:tblLook w:val="04A0" w:firstRow="1" w:lastRow="0" w:firstColumn="1" w:lastColumn="0" w:noHBand="0" w:noVBand="1"/>
      </w:tblPr>
      <w:tblGrid>
        <w:gridCol w:w="8789"/>
        <w:gridCol w:w="1697"/>
      </w:tblGrid>
      <w:tr w:rsidR="00DD0050" w14:paraId="24D0134B" w14:textId="77777777" w:rsidTr="000E7329">
        <w:tc>
          <w:tcPr>
            <w:tcW w:w="8789" w:type="dxa"/>
          </w:tcPr>
          <w:p w14:paraId="6CF118DF" w14:textId="77777777" w:rsidR="00DD0050" w:rsidRPr="00984C0B" w:rsidRDefault="00DD0050" w:rsidP="00CE2F0C">
            <w:pPr>
              <w:jc w:val="center"/>
              <w:rPr>
                <w:b/>
              </w:rPr>
            </w:pPr>
          </w:p>
          <w:p w14:paraId="785427A2" w14:textId="77777777" w:rsidR="00DD0050" w:rsidRPr="000E7329" w:rsidRDefault="00DD0050" w:rsidP="00CE2F0C">
            <w:pPr>
              <w:jc w:val="center"/>
              <w:rPr>
                <w:b/>
              </w:rPr>
            </w:pPr>
            <w:r>
              <w:rPr>
                <w:b/>
              </w:rPr>
              <w:t>Найменування/ критерії/ опис предмета закупівлі</w:t>
            </w:r>
          </w:p>
          <w:p w14:paraId="4F815F2C" w14:textId="77777777" w:rsidR="00DD0050" w:rsidRDefault="00DD0050" w:rsidP="00CE2F0C">
            <w:pPr>
              <w:jc w:val="center"/>
              <w:rPr>
                <w:b/>
                <w:lang w:val="ru-RU"/>
              </w:rPr>
            </w:pPr>
          </w:p>
        </w:tc>
        <w:tc>
          <w:tcPr>
            <w:tcW w:w="1697" w:type="dxa"/>
          </w:tcPr>
          <w:p w14:paraId="312CF56D" w14:textId="77777777" w:rsidR="00DD0050" w:rsidRDefault="00DD0050" w:rsidP="00CE2F0C">
            <w:pPr>
              <w:jc w:val="center"/>
              <w:rPr>
                <w:b/>
                <w:lang w:val="ru-RU"/>
              </w:rPr>
            </w:pPr>
            <w:proofErr w:type="spellStart"/>
            <w:r>
              <w:rPr>
                <w:b/>
                <w:lang w:val="ru-RU"/>
              </w:rPr>
              <w:t>Відповідність</w:t>
            </w:r>
            <w:proofErr w:type="spellEnd"/>
            <w:r>
              <w:rPr>
                <w:b/>
                <w:lang w:val="ru-RU"/>
              </w:rPr>
              <w:t xml:space="preserve"> / так</w:t>
            </w:r>
          </w:p>
        </w:tc>
      </w:tr>
      <w:tr w:rsidR="00DD0050" w:rsidRPr="00AE19AF" w14:paraId="4B5C9DD3" w14:textId="77777777" w:rsidTr="000E7329">
        <w:tc>
          <w:tcPr>
            <w:tcW w:w="8789" w:type="dxa"/>
          </w:tcPr>
          <w:p w14:paraId="5D80DCAA" w14:textId="77777777" w:rsidR="00DD0050" w:rsidRPr="006349B1" w:rsidRDefault="00DD0050" w:rsidP="00CE2F0C">
            <w:pPr>
              <w:pBdr>
                <w:between w:val="nil"/>
              </w:pBdr>
              <w:tabs>
                <w:tab w:val="left" w:pos="1690"/>
              </w:tabs>
              <w:ind w:left="2" w:hanging="2"/>
              <w:jc w:val="center"/>
              <w:rPr>
                <w:b/>
                <w:color w:val="000000"/>
              </w:rPr>
            </w:pPr>
            <w:r w:rsidRPr="006349B1">
              <w:rPr>
                <w:b/>
                <w:color w:val="000000"/>
              </w:rPr>
              <w:t>Перелік робіт по регулярному комплексному обслуговуванню:</w:t>
            </w:r>
          </w:p>
          <w:p w14:paraId="339E5D58" w14:textId="77777777" w:rsidR="00DD0050" w:rsidRPr="00827A37" w:rsidRDefault="00DD0050" w:rsidP="00DD0050">
            <w:pPr>
              <w:pStyle w:val="a3"/>
              <w:numPr>
                <w:ilvl w:val="0"/>
                <w:numId w:val="3"/>
              </w:numPr>
              <w:pBdr>
                <w:between w:val="nil"/>
              </w:pBdr>
              <w:tabs>
                <w:tab w:val="left" w:pos="567"/>
                <w:tab w:val="left" w:pos="851"/>
              </w:tabs>
              <w:suppressAutoHyphens/>
              <w:ind w:left="426"/>
              <w:textDirection w:val="btLr"/>
              <w:textAlignment w:val="top"/>
              <w:outlineLvl w:val="0"/>
              <w:rPr>
                <w:color w:val="000000"/>
              </w:rPr>
            </w:pPr>
            <w:r>
              <w:rPr>
                <w:color w:val="000000"/>
              </w:rPr>
              <w:t xml:space="preserve"> </w:t>
            </w:r>
            <w:r w:rsidRPr="00827A37">
              <w:rPr>
                <w:color w:val="000000"/>
              </w:rPr>
              <w:t>виїзд своїм транспортом на об’єкт обслуговування;</w:t>
            </w:r>
          </w:p>
          <w:p w14:paraId="5D6FCEE9"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доставка препаратів по догляду за водою та чашею (не більше 100 кг з габаритами, які не перевищують розмірів: 900х450х450);</w:t>
            </w:r>
          </w:p>
          <w:p w14:paraId="2561A799"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базове щотижневе тестування води;</w:t>
            </w:r>
          </w:p>
          <w:p w14:paraId="2E676217"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регулювання параметрів води за рахунок додавання хімічних препаратів;</w:t>
            </w:r>
          </w:p>
          <w:p w14:paraId="4F2AC719"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діагностика обладнання;</w:t>
            </w:r>
          </w:p>
          <w:p w14:paraId="3724F382"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промивка фільтру (</w:t>
            </w:r>
            <w:proofErr w:type="spellStart"/>
            <w:r w:rsidRPr="00827A37">
              <w:rPr>
                <w:color w:val="000000"/>
              </w:rPr>
              <w:t>ів</w:t>
            </w:r>
            <w:proofErr w:type="spellEnd"/>
            <w:r w:rsidRPr="00827A37">
              <w:rPr>
                <w:color w:val="000000"/>
              </w:rPr>
              <w:t>) (при необхідності);</w:t>
            </w:r>
          </w:p>
          <w:p w14:paraId="1F9E8B82"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перевірка тиску на фільтрувальній установці до та після промивки;</w:t>
            </w:r>
          </w:p>
          <w:p w14:paraId="205AC66E"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огляд фільтрувального обладнання та корегування налаштувань;</w:t>
            </w:r>
          </w:p>
          <w:p w14:paraId="557B3962"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перевірка обертання трьох фазних насосів / компресорів (якщо такі є в наявності);</w:t>
            </w:r>
          </w:p>
          <w:p w14:paraId="7355531E"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 xml:space="preserve">перевірка освітлення басейну; </w:t>
            </w:r>
          </w:p>
          <w:p w14:paraId="2B62A308"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очищення попереднього фільтра (</w:t>
            </w:r>
            <w:proofErr w:type="spellStart"/>
            <w:r w:rsidRPr="00827A37">
              <w:rPr>
                <w:color w:val="000000"/>
              </w:rPr>
              <w:t>ів</w:t>
            </w:r>
            <w:proofErr w:type="spellEnd"/>
            <w:r w:rsidRPr="00827A37">
              <w:rPr>
                <w:color w:val="000000"/>
              </w:rPr>
              <w:t xml:space="preserve">) насосу, кошика </w:t>
            </w:r>
            <w:proofErr w:type="spellStart"/>
            <w:r w:rsidRPr="00827A37">
              <w:rPr>
                <w:color w:val="000000"/>
              </w:rPr>
              <w:t>скімер</w:t>
            </w:r>
            <w:proofErr w:type="spellEnd"/>
            <w:r w:rsidRPr="00827A37">
              <w:rPr>
                <w:color w:val="000000"/>
              </w:rPr>
              <w:t>;</w:t>
            </w:r>
          </w:p>
          <w:p w14:paraId="02152A93"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 xml:space="preserve">очищення ватерлінії від мінеральних та жирових </w:t>
            </w:r>
            <w:proofErr w:type="spellStart"/>
            <w:r w:rsidRPr="00827A37">
              <w:rPr>
                <w:color w:val="000000"/>
              </w:rPr>
              <w:t>відкладень</w:t>
            </w:r>
            <w:proofErr w:type="spellEnd"/>
            <w:r w:rsidRPr="00827A37">
              <w:rPr>
                <w:color w:val="000000"/>
              </w:rPr>
              <w:t>;</w:t>
            </w:r>
          </w:p>
          <w:p w14:paraId="010EF384"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 xml:space="preserve">очищення </w:t>
            </w:r>
            <w:proofErr w:type="spellStart"/>
            <w:r w:rsidRPr="00827A37">
              <w:rPr>
                <w:color w:val="000000"/>
              </w:rPr>
              <w:t>дна</w:t>
            </w:r>
            <w:proofErr w:type="spellEnd"/>
            <w:r w:rsidRPr="00827A37">
              <w:rPr>
                <w:color w:val="000000"/>
              </w:rPr>
              <w:t xml:space="preserve"> та бортів водним пилососом;</w:t>
            </w:r>
          </w:p>
          <w:p w14:paraId="35A0C594"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калібрування автоматичної станції дозування (при необхідністю);</w:t>
            </w:r>
          </w:p>
          <w:p w14:paraId="73C89932"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перевірка нагрівача (</w:t>
            </w:r>
            <w:proofErr w:type="spellStart"/>
            <w:r w:rsidRPr="00827A37">
              <w:rPr>
                <w:color w:val="000000"/>
              </w:rPr>
              <w:t>ів</w:t>
            </w:r>
            <w:proofErr w:type="spellEnd"/>
            <w:r w:rsidRPr="00827A37">
              <w:rPr>
                <w:color w:val="000000"/>
              </w:rPr>
              <w:t>);</w:t>
            </w:r>
          </w:p>
          <w:p w14:paraId="71AA0979"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 xml:space="preserve">перевірка підживлення басейну водою; </w:t>
            </w:r>
          </w:p>
          <w:p w14:paraId="233A5FF8" w14:textId="77777777" w:rsidR="00DD0050" w:rsidRPr="00827A37"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перевірка положень запірної арматури;</w:t>
            </w:r>
          </w:p>
          <w:p w14:paraId="11806E0F" w14:textId="77777777" w:rsidR="00DD0050" w:rsidRPr="008A7DBF" w:rsidRDefault="00DD0050" w:rsidP="00DD0050">
            <w:pPr>
              <w:pStyle w:val="a3"/>
              <w:numPr>
                <w:ilvl w:val="0"/>
                <w:numId w:val="3"/>
              </w:numPr>
              <w:pBdr>
                <w:between w:val="nil"/>
              </w:pBdr>
              <w:suppressAutoHyphens/>
              <w:ind w:left="426"/>
              <w:textDirection w:val="btLr"/>
              <w:textAlignment w:val="top"/>
              <w:outlineLvl w:val="0"/>
              <w:rPr>
                <w:color w:val="000000"/>
              </w:rPr>
            </w:pPr>
            <w:r w:rsidRPr="00827A37">
              <w:rPr>
                <w:color w:val="000000"/>
              </w:rPr>
              <w:t xml:space="preserve">візуальній огляд оздоблення чаші басейну; </w:t>
            </w:r>
          </w:p>
        </w:tc>
        <w:tc>
          <w:tcPr>
            <w:tcW w:w="1697" w:type="dxa"/>
          </w:tcPr>
          <w:p w14:paraId="070AFB70" w14:textId="77777777" w:rsidR="00DD0050" w:rsidRPr="00AE19AF" w:rsidRDefault="00DD0050" w:rsidP="00CE2F0C">
            <w:pPr>
              <w:jc w:val="center"/>
              <w:rPr>
                <w:b/>
              </w:rPr>
            </w:pPr>
          </w:p>
        </w:tc>
      </w:tr>
    </w:tbl>
    <w:p w14:paraId="3B1F92F3" w14:textId="77777777" w:rsidR="00DD0050" w:rsidRPr="00AE19AF" w:rsidRDefault="00DD0050" w:rsidP="00DD0050">
      <w:pPr>
        <w:jc w:val="center"/>
        <w:rPr>
          <w:b/>
        </w:rPr>
      </w:pPr>
    </w:p>
    <w:p w14:paraId="45555250" w14:textId="77777777" w:rsidR="00DD0050" w:rsidRPr="007E3232" w:rsidRDefault="00DD0050" w:rsidP="00DD0050">
      <w:pPr>
        <w:jc w:val="center"/>
        <w:rPr>
          <w:b/>
        </w:rPr>
      </w:pPr>
      <w:r>
        <w:rPr>
          <w:rFonts w:eastAsia="Courier New"/>
          <w:b/>
          <w:bCs/>
          <w:lang w:eastAsia="uk-UA"/>
        </w:rPr>
        <w:t xml:space="preserve">Загальні вимоги до </w:t>
      </w:r>
      <w:r>
        <w:rPr>
          <w:b/>
        </w:rPr>
        <w:t>учасника</w:t>
      </w:r>
    </w:p>
    <w:p w14:paraId="75439F53" w14:textId="77777777" w:rsidR="00DD0050" w:rsidRDefault="00DD0050" w:rsidP="00DD0050">
      <w:pPr>
        <w:jc w:val="center"/>
        <w:rPr>
          <w:rFonts w:eastAsia="Courier New"/>
          <w:b/>
          <w:bCs/>
          <w:lang w:eastAsia="uk-UA"/>
        </w:rPr>
      </w:pPr>
    </w:p>
    <w:p w14:paraId="3E44324E" w14:textId="77777777" w:rsidR="00DD0050" w:rsidRDefault="00DD0050" w:rsidP="00DD0050">
      <w:pPr>
        <w:pStyle w:val="aff4"/>
        <w:tabs>
          <w:tab w:val="num" w:pos="0"/>
          <w:tab w:val="left" w:pos="567"/>
        </w:tabs>
        <w:ind w:left="0" w:firstLine="900"/>
        <w:rPr>
          <w:lang w:val="uk-UA"/>
        </w:rPr>
      </w:pPr>
      <w:r w:rsidRPr="006067E0">
        <w:rPr>
          <w:lang w:val="uk-UA"/>
        </w:rPr>
        <w:t>Мета надання послуг: утримання та експлуатація обладнання і чаші басейну в справному, чистому та безпечному стані, попередження появи недоліків і відмов у роботі, збільшення міжремонтних термінів і забезпечення високого рівня експлуатаційної надійності, продовження терміну експлуатації.</w:t>
      </w:r>
    </w:p>
    <w:p w14:paraId="594ABD9D" w14:textId="77777777" w:rsidR="00DD0050" w:rsidRPr="00E16784" w:rsidRDefault="00DD0050" w:rsidP="00DD0050">
      <w:pPr>
        <w:pStyle w:val="aff4"/>
        <w:tabs>
          <w:tab w:val="num" w:pos="0"/>
          <w:tab w:val="left" w:pos="567"/>
        </w:tabs>
        <w:rPr>
          <w:lang w:val="uk-UA"/>
        </w:rPr>
      </w:pPr>
      <w:r w:rsidRPr="00E16784">
        <w:rPr>
          <w:lang w:val="uk-UA"/>
        </w:rPr>
        <w:t>Послуги проведення обслуговування басейн</w:t>
      </w:r>
      <w:r>
        <w:rPr>
          <w:lang w:val="uk-UA"/>
        </w:rPr>
        <w:t>у</w:t>
      </w:r>
      <w:r w:rsidRPr="00E16784">
        <w:rPr>
          <w:lang w:val="uk-UA"/>
        </w:rPr>
        <w:t xml:space="preserve">: </w:t>
      </w:r>
      <w:r>
        <w:rPr>
          <w:lang w:val="uk-UA"/>
        </w:rPr>
        <w:t>125,7</w:t>
      </w:r>
      <w:r w:rsidRPr="00E16784">
        <w:rPr>
          <w:lang w:val="uk-UA"/>
        </w:rPr>
        <w:t xml:space="preserve"> м3.  </w:t>
      </w:r>
    </w:p>
    <w:p w14:paraId="235923BA" w14:textId="77777777" w:rsidR="00DD0050" w:rsidRPr="00E16784" w:rsidRDefault="00DD0050" w:rsidP="00DD0050">
      <w:pPr>
        <w:pStyle w:val="aff4"/>
        <w:tabs>
          <w:tab w:val="num" w:pos="0"/>
          <w:tab w:val="left" w:pos="567"/>
        </w:tabs>
        <w:rPr>
          <w:lang w:val="uk-UA"/>
        </w:rPr>
      </w:pPr>
      <w:r w:rsidRPr="00E16784">
        <w:rPr>
          <w:lang w:val="uk-UA"/>
        </w:rPr>
        <w:t xml:space="preserve">1. Щотижневе тестування води: </w:t>
      </w:r>
      <w:proofErr w:type="spellStart"/>
      <w:r w:rsidRPr="00E16784">
        <w:rPr>
          <w:lang w:val="uk-UA"/>
        </w:rPr>
        <w:t>рН</w:t>
      </w:r>
      <w:proofErr w:type="spellEnd"/>
      <w:r w:rsidRPr="00E16784">
        <w:rPr>
          <w:lang w:val="uk-UA"/>
        </w:rPr>
        <w:t>, лужність, загальний та вільний хлор, загальне залізо, жорсткість, стабілізатор хлору, TDS</w:t>
      </w:r>
    </w:p>
    <w:p w14:paraId="2DBC5B6E" w14:textId="77777777" w:rsidR="00DD0050" w:rsidRPr="00E16784" w:rsidRDefault="00DD0050" w:rsidP="00DD0050">
      <w:pPr>
        <w:pStyle w:val="aff4"/>
        <w:tabs>
          <w:tab w:val="num" w:pos="0"/>
          <w:tab w:val="left" w:pos="567"/>
        </w:tabs>
        <w:rPr>
          <w:lang w:val="uk-UA"/>
        </w:rPr>
      </w:pPr>
      <w:r w:rsidRPr="00E16784">
        <w:rPr>
          <w:lang w:val="uk-UA"/>
        </w:rPr>
        <w:t xml:space="preserve">2. Регулювання параметрів води шляхом хімізації води та додавання необхідних реагентів фірми </w:t>
      </w:r>
      <w:proofErr w:type="spellStart"/>
      <w:r w:rsidRPr="00E16784">
        <w:rPr>
          <w:lang w:val="uk-UA"/>
        </w:rPr>
        <w:t>Barchemicals</w:t>
      </w:r>
      <w:proofErr w:type="spellEnd"/>
    </w:p>
    <w:p w14:paraId="2E0C6207" w14:textId="77777777" w:rsidR="00DD0050" w:rsidRPr="00E16784" w:rsidRDefault="00DD0050" w:rsidP="00DD0050">
      <w:pPr>
        <w:pStyle w:val="aff4"/>
        <w:tabs>
          <w:tab w:val="num" w:pos="0"/>
          <w:tab w:val="left" w:pos="567"/>
        </w:tabs>
        <w:rPr>
          <w:lang w:val="uk-UA"/>
        </w:rPr>
      </w:pPr>
      <w:r w:rsidRPr="00E16784">
        <w:rPr>
          <w:lang w:val="uk-UA"/>
        </w:rPr>
        <w:t>3. Огляд обладнання трубопроводів з метою виявлення протікань, проривів, дефектів, та діагностики обладнання</w:t>
      </w:r>
    </w:p>
    <w:p w14:paraId="2C1982EE" w14:textId="77777777" w:rsidR="00DD0050" w:rsidRPr="00E16784" w:rsidRDefault="00DD0050" w:rsidP="00DD0050">
      <w:pPr>
        <w:pStyle w:val="aff4"/>
        <w:tabs>
          <w:tab w:val="num" w:pos="0"/>
          <w:tab w:val="left" w:pos="567"/>
        </w:tabs>
        <w:rPr>
          <w:lang w:val="uk-UA"/>
        </w:rPr>
      </w:pPr>
      <w:r w:rsidRPr="00E16784">
        <w:rPr>
          <w:lang w:val="uk-UA"/>
        </w:rPr>
        <w:t>4. Огляд фільтрувального обладнання та корегування налаштувань, промивка фільтрів</w:t>
      </w:r>
    </w:p>
    <w:p w14:paraId="69C0BCE0" w14:textId="77777777" w:rsidR="00DD0050" w:rsidRPr="00E16784" w:rsidRDefault="00DD0050" w:rsidP="00DD0050">
      <w:pPr>
        <w:pStyle w:val="aff4"/>
        <w:tabs>
          <w:tab w:val="num" w:pos="0"/>
          <w:tab w:val="left" w:pos="567"/>
        </w:tabs>
        <w:rPr>
          <w:lang w:val="uk-UA"/>
        </w:rPr>
      </w:pPr>
      <w:r w:rsidRPr="00E16784">
        <w:rPr>
          <w:lang w:val="uk-UA"/>
        </w:rPr>
        <w:t>5. Огляд та налаштування додаткового обладнання діагностика (станцій дозування, дозаторів)</w:t>
      </w:r>
    </w:p>
    <w:p w14:paraId="221AC41B" w14:textId="77777777" w:rsidR="00DD0050" w:rsidRPr="00E16784" w:rsidRDefault="00DD0050" w:rsidP="00DD0050">
      <w:pPr>
        <w:pStyle w:val="aff4"/>
        <w:tabs>
          <w:tab w:val="num" w:pos="0"/>
          <w:tab w:val="left" w:pos="567"/>
        </w:tabs>
        <w:rPr>
          <w:lang w:val="uk-UA"/>
        </w:rPr>
      </w:pPr>
      <w:r w:rsidRPr="00E16784">
        <w:rPr>
          <w:lang w:val="uk-UA"/>
        </w:rPr>
        <w:t>6. Перевірка нагріву басейна (</w:t>
      </w:r>
      <w:proofErr w:type="spellStart"/>
      <w:r w:rsidRPr="00E16784">
        <w:rPr>
          <w:lang w:val="uk-UA"/>
        </w:rPr>
        <w:t>електро</w:t>
      </w:r>
      <w:proofErr w:type="spellEnd"/>
      <w:r w:rsidRPr="00E16784">
        <w:rPr>
          <w:lang w:val="uk-UA"/>
        </w:rPr>
        <w:t>-магнітний клапан, терморегулятор, циркуляційний насос, датчик температури)</w:t>
      </w:r>
    </w:p>
    <w:p w14:paraId="77E1F468" w14:textId="77777777" w:rsidR="00DD0050" w:rsidRPr="00E16784" w:rsidRDefault="00DD0050" w:rsidP="00DD0050">
      <w:pPr>
        <w:pStyle w:val="aff4"/>
        <w:tabs>
          <w:tab w:val="num" w:pos="0"/>
          <w:tab w:val="left" w:pos="567"/>
        </w:tabs>
        <w:rPr>
          <w:lang w:val="uk-UA"/>
        </w:rPr>
      </w:pPr>
      <w:r w:rsidRPr="00E16784">
        <w:rPr>
          <w:lang w:val="uk-UA"/>
        </w:rPr>
        <w:t>7. Перевірка правильності положень запірної арматури</w:t>
      </w:r>
    </w:p>
    <w:p w14:paraId="326A2741" w14:textId="77777777" w:rsidR="00DD0050" w:rsidRPr="00E16784" w:rsidRDefault="00DD0050" w:rsidP="00DD0050">
      <w:pPr>
        <w:pStyle w:val="aff4"/>
        <w:tabs>
          <w:tab w:val="num" w:pos="0"/>
          <w:tab w:val="left" w:pos="567"/>
        </w:tabs>
        <w:rPr>
          <w:lang w:val="uk-UA"/>
        </w:rPr>
      </w:pPr>
      <w:r w:rsidRPr="00E16784">
        <w:rPr>
          <w:lang w:val="uk-UA"/>
        </w:rPr>
        <w:t>8. Перевірка роботи пристрою захисного відключення</w:t>
      </w:r>
    </w:p>
    <w:p w14:paraId="2D70AAA0" w14:textId="77777777" w:rsidR="00DD0050" w:rsidRPr="006067E0" w:rsidRDefault="00DD0050" w:rsidP="00DD0050">
      <w:pPr>
        <w:pStyle w:val="aff4"/>
        <w:tabs>
          <w:tab w:val="num" w:pos="0"/>
          <w:tab w:val="left" w:pos="567"/>
        </w:tabs>
        <w:rPr>
          <w:lang w:val="uk-UA"/>
        </w:rPr>
      </w:pPr>
      <w:r w:rsidRPr="00E16784">
        <w:rPr>
          <w:lang w:val="uk-UA"/>
        </w:rPr>
        <w:lastRenderedPageBreak/>
        <w:t>9. Перевірка обертання 3-х фазних насосів, компресорів, налаштування теплового реле температури</w:t>
      </w:r>
      <w:r>
        <w:rPr>
          <w:lang w:val="uk-UA"/>
        </w:rPr>
        <w:t>.</w:t>
      </w:r>
    </w:p>
    <w:p w14:paraId="564E96F0" w14:textId="77777777" w:rsidR="00DD0050" w:rsidRPr="006067E0" w:rsidRDefault="00DD0050" w:rsidP="00DD0050">
      <w:pPr>
        <w:pStyle w:val="aff4"/>
        <w:tabs>
          <w:tab w:val="num" w:pos="0"/>
          <w:tab w:val="left" w:pos="567"/>
        </w:tabs>
        <w:ind w:left="0" w:firstLine="900"/>
        <w:rPr>
          <w:lang w:val="uk-UA"/>
        </w:rPr>
      </w:pPr>
      <w:r w:rsidRPr="006067E0">
        <w:rPr>
          <w:lang w:val="uk-UA"/>
        </w:rPr>
        <w:t>Виконавець зобов'язаний представляти список осіб і відомості про них, необхідні для оформлення документів на право проходу на територію Замовника. При наданні послуг Виконавець зобов'язаний дотримуватися правил пропускного режиму для автотранспорту і персоналу, керуватися дозволеними маршрутами руху транспорту, а також вказівками охорони і відповідальних за надання послуг представників Замовника. Час доступу в приміщення, визначається за попереднім погодженням із Замовником.</w:t>
      </w:r>
    </w:p>
    <w:p w14:paraId="200154B9" w14:textId="77777777" w:rsidR="00DD0050" w:rsidRPr="006067E0" w:rsidRDefault="00DD0050" w:rsidP="00DD0050">
      <w:pPr>
        <w:pStyle w:val="aff4"/>
        <w:tabs>
          <w:tab w:val="num" w:pos="0"/>
          <w:tab w:val="left" w:pos="567"/>
        </w:tabs>
        <w:ind w:left="0" w:firstLine="900"/>
        <w:rPr>
          <w:lang w:val="uk-UA"/>
        </w:rPr>
      </w:pPr>
      <w:r w:rsidRPr="006067E0">
        <w:rPr>
          <w:lang w:val="uk-UA"/>
        </w:rPr>
        <w:t>При виникненні аварійної ситуації в роботі обладнання прибуття фахівця повинно бути впродовж 2-х годин. Усі послуги, що надаються у рамках договору, пов'язані з відключенням електрики і інших систем, повинні заздалегідь узгоджуватися, не пізніше, ніж за 24 години до планованого терміну.</w:t>
      </w:r>
    </w:p>
    <w:p w14:paraId="6E1C0762" w14:textId="77777777" w:rsidR="00DD0050" w:rsidRDefault="00DD0050" w:rsidP="00DD0050">
      <w:pPr>
        <w:pStyle w:val="aff4"/>
        <w:tabs>
          <w:tab w:val="num" w:pos="0"/>
          <w:tab w:val="left" w:pos="567"/>
        </w:tabs>
        <w:ind w:left="0" w:firstLine="900"/>
        <w:rPr>
          <w:lang w:val="uk-UA"/>
        </w:rPr>
      </w:pPr>
      <w:r w:rsidRPr="006067E0">
        <w:rPr>
          <w:lang w:val="uk-UA"/>
        </w:rPr>
        <w:t>Виконавець організовує своїми силами і за свій рахунок склад тимчасового зберігання інструменту, матеріалів і устаткування поза територією Замовника. Персонал Виконавця зобов'язаний знати пристрій і принцип роботи устаткування басейнів. Послуги надаються Виконавцем відповідно до Договору, в зазначені терміни, перевіреними і справними інструментами і повіреними приладами.</w:t>
      </w:r>
    </w:p>
    <w:p w14:paraId="4454340F" w14:textId="77777777" w:rsidR="00DD0050" w:rsidRPr="006067E0" w:rsidRDefault="00DD0050" w:rsidP="00DD0050">
      <w:pPr>
        <w:pStyle w:val="aff4"/>
        <w:tabs>
          <w:tab w:val="num" w:pos="0"/>
          <w:tab w:val="left" w:pos="567"/>
        </w:tabs>
        <w:ind w:left="0" w:firstLine="900"/>
        <w:rPr>
          <w:lang w:val="uk-UA"/>
        </w:rPr>
      </w:pPr>
    </w:p>
    <w:p w14:paraId="6D5E0E38" w14:textId="77777777" w:rsidR="00DD0050" w:rsidRDefault="00DD0050" w:rsidP="00DD0050">
      <w:pPr>
        <w:rPr>
          <w:b/>
          <w:color w:val="000000"/>
          <w:sz w:val="27"/>
          <w:szCs w:val="27"/>
        </w:rPr>
      </w:pPr>
      <w:r w:rsidRPr="008A152B">
        <w:rPr>
          <w:i/>
          <w:spacing w:val="7"/>
        </w:rPr>
        <w:t xml:space="preserve">У разі, якщо Технічні вимоги/Технічні специфікації містять посилання на конкретну марку чи виробника або на конкретний процес, що характеризує продукт, чи на торгові марки, патенти, типи або конкретне місце походження чи спосіб виробництва, технічні регламенти та умови, вимоги, то вважається, що Технічні вимоги/Технічні специфікації містять вираз «або еквівалент». </w:t>
      </w:r>
      <w:r w:rsidRPr="006067E0">
        <w:rPr>
          <w:i/>
          <w:spacing w:val="7"/>
        </w:rPr>
        <w:t>Документи, надані учасником в складі тендерної пропозиції повинні бути чинними на дату кінцевого строку подання тендерних пропозицій.</w:t>
      </w:r>
    </w:p>
    <w:p w14:paraId="4C547454" w14:textId="77777777" w:rsidR="00DD0050" w:rsidRDefault="00DD0050" w:rsidP="00DD0050">
      <w:pPr>
        <w:jc w:val="center"/>
        <w:rPr>
          <w:b/>
          <w:color w:val="000000"/>
          <w:sz w:val="27"/>
          <w:szCs w:val="27"/>
        </w:rPr>
      </w:pPr>
    </w:p>
    <w:p w14:paraId="5EFF8944" w14:textId="69C3711A" w:rsidR="00DD0050" w:rsidRDefault="00DD0050" w:rsidP="00DD0050">
      <w:pPr>
        <w:pStyle w:val="a3"/>
        <w:rPr>
          <w:b/>
          <w:bCs/>
          <w:sz w:val="28"/>
          <w:szCs w:val="28"/>
          <w:u w:val="single"/>
        </w:rPr>
      </w:pPr>
      <w:r w:rsidRPr="00577FCD">
        <w:rPr>
          <w:b/>
        </w:rPr>
        <w:t>Очікувана вартість закупівлі складає</w:t>
      </w:r>
      <w:r>
        <w:rPr>
          <w:b/>
        </w:rPr>
        <w:t>: 1</w:t>
      </w:r>
      <w:r>
        <w:rPr>
          <w:b/>
          <w:lang w:val="en-US"/>
        </w:rPr>
        <w:t>95</w:t>
      </w:r>
      <w:r>
        <w:rPr>
          <w:b/>
        </w:rPr>
        <w:t xml:space="preserve"> 000,00 (сто </w:t>
      </w:r>
      <w:proofErr w:type="spellStart"/>
      <w:r>
        <w:rPr>
          <w:b/>
          <w:lang w:val="en-US"/>
        </w:rPr>
        <w:t>дев’яносто</w:t>
      </w:r>
      <w:proofErr w:type="spellEnd"/>
      <w:r>
        <w:rPr>
          <w:b/>
          <w:lang w:val="en-US"/>
        </w:rPr>
        <w:t xml:space="preserve"> </w:t>
      </w:r>
      <w:proofErr w:type="spellStart"/>
      <w:r>
        <w:rPr>
          <w:b/>
          <w:lang w:val="en-US"/>
        </w:rPr>
        <w:t>п’ять</w:t>
      </w:r>
      <w:proofErr w:type="spellEnd"/>
      <w:r>
        <w:rPr>
          <w:b/>
        </w:rPr>
        <w:t xml:space="preserve"> тисяч гривень 00 копійок), з ПДВ.</w:t>
      </w:r>
    </w:p>
    <w:p w14:paraId="0C41CBE0" w14:textId="77777777" w:rsidR="00DD0050" w:rsidRPr="00577FCD" w:rsidRDefault="00DD0050" w:rsidP="00DD0050">
      <w:pPr>
        <w:pStyle w:val="a3"/>
        <w:rPr>
          <w:b/>
          <w:bCs/>
          <w:sz w:val="28"/>
          <w:szCs w:val="28"/>
          <w:u w:val="single"/>
        </w:rPr>
      </w:pPr>
    </w:p>
    <w:bookmarkEnd w:id="1"/>
    <w:p w14:paraId="2CD7A62B" w14:textId="77777777" w:rsidR="00DD0050" w:rsidRDefault="00DD0050" w:rsidP="00577FCD">
      <w:pPr>
        <w:jc w:val="center"/>
        <w:outlineLvl w:val="0"/>
        <w:rPr>
          <w:b/>
          <w:sz w:val="40"/>
          <w:szCs w:val="40"/>
        </w:rPr>
      </w:pPr>
    </w:p>
    <w:sectPr w:rsidR="00DD005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6A20256F"/>
    <w:multiLevelType w:val="hybridMultilevel"/>
    <w:tmpl w:val="C3202A26"/>
    <w:lvl w:ilvl="0" w:tplc="1000000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215502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589577">
    <w:abstractNumId w:val="2"/>
  </w:num>
  <w:num w:numId="3" w16cid:durableId="146427187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C4509"/>
    <w:rsid w:val="004D0E05"/>
    <w:rsid w:val="004E3803"/>
    <w:rsid w:val="0052468D"/>
    <w:rsid w:val="005336B4"/>
    <w:rsid w:val="00577FCD"/>
    <w:rsid w:val="005F5AA5"/>
    <w:rsid w:val="007018F6"/>
    <w:rsid w:val="007E3784"/>
    <w:rsid w:val="008E1B80"/>
    <w:rsid w:val="008E1D9E"/>
    <w:rsid w:val="00965B84"/>
    <w:rsid w:val="00981353"/>
    <w:rsid w:val="00984C0B"/>
    <w:rsid w:val="00A029A4"/>
    <w:rsid w:val="00A053B7"/>
    <w:rsid w:val="00A63421"/>
    <w:rsid w:val="00A94428"/>
    <w:rsid w:val="00AB71C4"/>
    <w:rsid w:val="00AD2904"/>
    <w:rsid w:val="00AE19AF"/>
    <w:rsid w:val="00B06820"/>
    <w:rsid w:val="00B41697"/>
    <w:rsid w:val="00BA46E9"/>
    <w:rsid w:val="00C20D96"/>
    <w:rsid w:val="00C40464"/>
    <w:rsid w:val="00C56739"/>
    <w:rsid w:val="00C86040"/>
    <w:rsid w:val="00CE064B"/>
    <w:rsid w:val="00CF20C1"/>
    <w:rsid w:val="00D55A92"/>
    <w:rsid w:val="00D91CF1"/>
    <w:rsid w:val="00DD0050"/>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Пункт"/>
    <w:basedOn w:val="a"/>
    <w:rsid w:val="00DD0050"/>
    <w:pPr>
      <w:tabs>
        <w:tab w:val="num" w:pos="1980"/>
      </w:tabs>
      <w:ind w:left="1404" w:hanging="504"/>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552</Words>
  <Characters>3854</Characters>
  <Application>Microsoft Office Word</Application>
  <DocSecurity>0</DocSecurity>
  <Lines>87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Kovtun</cp:lastModifiedBy>
  <cp:revision>34</cp:revision>
  <cp:lastPrinted>2025-01-20T07:48:00Z</cp:lastPrinted>
  <dcterms:created xsi:type="dcterms:W3CDTF">2025-01-30T07:30:00Z</dcterms:created>
  <dcterms:modified xsi:type="dcterms:W3CDTF">2025-12-20T07:26:00Z</dcterms:modified>
</cp:coreProperties>
</file>