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02B7CBC7"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bookmarkStart w:id="0" w:name="_Hlk215484553"/>
      <w:r w:rsidR="00D54642" w:rsidRPr="00D54642">
        <w:rPr>
          <w:b/>
          <w:color w:val="000000"/>
          <w:sz w:val="25"/>
          <w:szCs w:val="25"/>
        </w:rPr>
        <w:t>Реагенти для Українського Референс-центру з клінічної лабораторної діагностики та метрології в 2025 році: 1. Набір реагентів для якісного виявлення РНК вірусу імунодефіциту людини типу 1 (HIV-1) та типу 2 (HIV-1) методом ПЛР в реальному часі  (100 тестів); 2. Набір реагентів для екстракції нуклейнових кислот  ДНК/РНК, магнітна сорбція (100 тестів) код ДК 021:2015 – 33690000-3 лікарські засоби різні.</w:t>
      </w:r>
      <w:bookmarkEnd w:id="0"/>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6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73"/>
        <w:gridCol w:w="2469"/>
        <w:gridCol w:w="780"/>
        <w:gridCol w:w="1000"/>
        <w:gridCol w:w="2403"/>
        <w:gridCol w:w="2590"/>
      </w:tblGrid>
      <w:tr w:rsidR="00D54642" w14:paraId="101B9EC8" w14:textId="77777777" w:rsidTr="00F361E2">
        <w:trPr>
          <w:trHeight w:val="1260"/>
        </w:trPr>
        <w:tc>
          <w:tcPr>
            <w:tcW w:w="945" w:type="dxa"/>
            <w:shd w:val="clear" w:color="auto" w:fill="auto"/>
            <w:vAlign w:val="center"/>
            <w:hideMark/>
          </w:tcPr>
          <w:p w14:paraId="2616FD2B" w14:textId="77777777" w:rsidR="00D54642" w:rsidRDefault="00D54642" w:rsidP="00F361E2">
            <w:pPr>
              <w:jc w:val="center"/>
              <w:rPr>
                <w:b/>
                <w:bCs/>
                <w:color w:val="000000"/>
                <w:sz w:val="20"/>
                <w:szCs w:val="20"/>
              </w:rPr>
            </w:pPr>
            <w:r>
              <w:rPr>
                <w:b/>
                <w:bCs/>
                <w:color w:val="000000"/>
                <w:sz w:val="20"/>
                <w:szCs w:val="20"/>
              </w:rPr>
              <w:t>№ з потреби</w:t>
            </w:r>
          </w:p>
        </w:tc>
        <w:tc>
          <w:tcPr>
            <w:tcW w:w="473" w:type="dxa"/>
            <w:shd w:val="clear" w:color="auto" w:fill="auto"/>
            <w:noWrap/>
            <w:vAlign w:val="center"/>
            <w:hideMark/>
          </w:tcPr>
          <w:p w14:paraId="5AFB2C24" w14:textId="77777777" w:rsidR="00D54642" w:rsidRDefault="00D54642" w:rsidP="00F361E2">
            <w:pPr>
              <w:jc w:val="center"/>
              <w:rPr>
                <w:b/>
                <w:bCs/>
                <w:color w:val="000000"/>
                <w:sz w:val="20"/>
                <w:szCs w:val="20"/>
              </w:rPr>
            </w:pPr>
            <w:r>
              <w:rPr>
                <w:b/>
                <w:bCs/>
                <w:color w:val="000000"/>
                <w:sz w:val="20"/>
                <w:szCs w:val="20"/>
              </w:rPr>
              <w:t xml:space="preserve"> №</w:t>
            </w:r>
          </w:p>
          <w:p w14:paraId="70D952E4" w14:textId="77777777" w:rsidR="00D54642" w:rsidRDefault="00D54642" w:rsidP="00F361E2">
            <w:pPr>
              <w:jc w:val="center"/>
              <w:rPr>
                <w:b/>
                <w:bCs/>
                <w:color w:val="000000"/>
                <w:sz w:val="20"/>
                <w:szCs w:val="20"/>
              </w:rPr>
            </w:pPr>
            <w:r>
              <w:rPr>
                <w:b/>
                <w:bCs/>
                <w:color w:val="000000"/>
                <w:sz w:val="20"/>
                <w:szCs w:val="20"/>
              </w:rPr>
              <w:t>з/п</w:t>
            </w:r>
          </w:p>
        </w:tc>
        <w:tc>
          <w:tcPr>
            <w:tcW w:w="2469" w:type="dxa"/>
            <w:shd w:val="clear" w:color="auto" w:fill="auto"/>
            <w:vAlign w:val="center"/>
            <w:hideMark/>
          </w:tcPr>
          <w:p w14:paraId="5C4DF1A8" w14:textId="77777777" w:rsidR="00D54642" w:rsidRDefault="00D54642" w:rsidP="00F361E2">
            <w:pPr>
              <w:jc w:val="center"/>
              <w:rPr>
                <w:b/>
                <w:bCs/>
                <w:color w:val="000000"/>
                <w:sz w:val="20"/>
                <w:szCs w:val="20"/>
              </w:rPr>
            </w:pPr>
            <w:r>
              <w:rPr>
                <w:b/>
                <w:bCs/>
                <w:color w:val="000000"/>
                <w:sz w:val="20"/>
                <w:szCs w:val="20"/>
              </w:rPr>
              <w:t xml:space="preserve">Назва реактиву, </w:t>
            </w:r>
          </w:p>
          <w:p w14:paraId="353CAB8C" w14:textId="77777777" w:rsidR="00D54642" w:rsidRDefault="00D54642" w:rsidP="00F361E2">
            <w:pPr>
              <w:jc w:val="center"/>
              <w:rPr>
                <w:b/>
                <w:bCs/>
                <w:color w:val="000000"/>
                <w:sz w:val="20"/>
                <w:szCs w:val="20"/>
              </w:rPr>
            </w:pPr>
            <w:r>
              <w:rPr>
                <w:b/>
                <w:bCs/>
                <w:color w:val="000000"/>
                <w:sz w:val="20"/>
                <w:szCs w:val="20"/>
              </w:rPr>
              <w:t>або еквівалент</w:t>
            </w:r>
          </w:p>
        </w:tc>
        <w:tc>
          <w:tcPr>
            <w:tcW w:w="780" w:type="dxa"/>
            <w:shd w:val="clear" w:color="auto" w:fill="auto"/>
            <w:vAlign w:val="center"/>
            <w:hideMark/>
          </w:tcPr>
          <w:p w14:paraId="738DFAD0" w14:textId="77777777" w:rsidR="00D54642" w:rsidRDefault="00D54642" w:rsidP="00F361E2">
            <w:pPr>
              <w:jc w:val="center"/>
              <w:rPr>
                <w:b/>
                <w:bCs/>
                <w:color w:val="000000"/>
                <w:sz w:val="20"/>
                <w:szCs w:val="20"/>
              </w:rPr>
            </w:pPr>
            <w:r>
              <w:rPr>
                <w:b/>
                <w:bCs/>
                <w:color w:val="000000"/>
                <w:sz w:val="20"/>
                <w:szCs w:val="20"/>
              </w:rPr>
              <w:t>Од. вим.</w:t>
            </w:r>
          </w:p>
        </w:tc>
        <w:tc>
          <w:tcPr>
            <w:tcW w:w="1000" w:type="dxa"/>
            <w:shd w:val="clear" w:color="auto" w:fill="auto"/>
            <w:vAlign w:val="center"/>
            <w:hideMark/>
          </w:tcPr>
          <w:p w14:paraId="28DBFF6A" w14:textId="77777777" w:rsidR="00D54642" w:rsidRDefault="00D54642" w:rsidP="00F361E2">
            <w:pPr>
              <w:jc w:val="center"/>
              <w:rPr>
                <w:b/>
                <w:bCs/>
                <w:color w:val="000000"/>
                <w:sz w:val="20"/>
                <w:szCs w:val="20"/>
              </w:rPr>
            </w:pPr>
            <w:r>
              <w:rPr>
                <w:b/>
                <w:bCs/>
                <w:color w:val="000000"/>
                <w:sz w:val="20"/>
                <w:szCs w:val="20"/>
              </w:rPr>
              <w:t>Кіл-ть Біохімія</w:t>
            </w:r>
          </w:p>
        </w:tc>
        <w:tc>
          <w:tcPr>
            <w:tcW w:w="2403" w:type="dxa"/>
            <w:shd w:val="clear" w:color="auto" w:fill="auto"/>
            <w:vAlign w:val="center"/>
            <w:hideMark/>
          </w:tcPr>
          <w:p w14:paraId="1AE2571B" w14:textId="77777777" w:rsidR="00D54642" w:rsidRDefault="00D54642" w:rsidP="00F361E2">
            <w:pPr>
              <w:jc w:val="center"/>
              <w:rPr>
                <w:b/>
                <w:bCs/>
                <w:color w:val="000000"/>
                <w:sz w:val="20"/>
                <w:szCs w:val="20"/>
              </w:rPr>
            </w:pPr>
            <w:r>
              <w:rPr>
                <w:b/>
                <w:bCs/>
                <w:color w:val="000000"/>
                <w:sz w:val="20"/>
                <w:szCs w:val="20"/>
              </w:rPr>
              <w:t>НАЦІОНАЛЬНИЙ КЛАСИФІКАТОР УКРАЇНИ</w:t>
            </w:r>
            <w:r>
              <w:rPr>
                <w:b/>
                <w:bCs/>
                <w:color w:val="000000"/>
                <w:sz w:val="20"/>
                <w:szCs w:val="20"/>
              </w:rPr>
              <w:br/>
              <w:t xml:space="preserve">Єдиний закупівельний словник ДК 021:2015 </w:t>
            </w:r>
          </w:p>
        </w:tc>
        <w:tc>
          <w:tcPr>
            <w:tcW w:w="2590" w:type="dxa"/>
            <w:shd w:val="clear" w:color="auto" w:fill="auto"/>
            <w:vAlign w:val="center"/>
            <w:hideMark/>
          </w:tcPr>
          <w:p w14:paraId="7834793A" w14:textId="77777777" w:rsidR="00D54642" w:rsidRDefault="00D54642" w:rsidP="00F361E2">
            <w:pPr>
              <w:jc w:val="center"/>
              <w:rPr>
                <w:b/>
                <w:bCs/>
                <w:sz w:val="20"/>
                <w:szCs w:val="20"/>
              </w:rPr>
            </w:pPr>
            <w:r>
              <w:rPr>
                <w:b/>
                <w:bCs/>
                <w:sz w:val="20"/>
                <w:szCs w:val="20"/>
              </w:rPr>
              <w:t>НАЦІОНАЛЬНИЙ КЛАСИФІКАТОР УКРАЇНИ Класифікатор медичних виробів НК 024:2023</w:t>
            </w:r>
          </w:p>
        </w:tc>
      </w:tr>
      <w:tr w:rsidR="00D54642" w14:paraId="72D54F96" w14:textId="77777777" w:rsidTr="00F361E2">
        <w:trPr>
          <w:trHeight w:val="1065"/>
        </w:trPr>
        <w:tc>
          <w:tcPr>
            <w:tcW w:w="945" w:type="dxa"/>
            <w:shd w:val="clear" w:color="auto" w:fill="auto"/>
            <w:noWrap/>
            <w:hideMark/>
          </w:tcPr>
          <w:p w14:paraId="0EA72A1D" w14:textId="77777777" w:rsidR="00D54642" w:rsidRDefault="00D54642" w:rsidP="00F361E2">
            <w:pPr>
              <w:jc w:val="center"/>
              <w:rPr>
                <w:color w:val="000000"/>
              </w:rPr>
            </w:pPr>
            <w:r w:rsidRPr="00C55543">
              <w:t>Р3662</w:t>
            </w:r>
          </w:p>
        </w:tc>
        <w:tc>
          <w:tcPr>
            <w:tcW w:w="473" w:type="dxa"/>
            <w:shd w:val="clear" w:color="FFFFCC" w:fill="FFFFFF"/>
            <w:noWrap/>
            <w:hideMark/>
          </w:tcPr>
          <w:p w14:paraId="3E074AA4" w14:textId="77777777" w:rsidR="00D54642" w:rsidRPr="007B7241" w:rsidRDefault="00D54642" w:rsidP="00F361E2">
            <w:pPr>
              <w:jc w:val="center"/>
              <w:rPr>
                <w:lang w:val="en-US"/>
              </w:rPr>
            </w:pPr>
            <w:r w:rsidRPr="00EA3620">
              <w:t>1</w:t>
            </w:r>
          </w:p>
        </w:tc>
        <w:tc>
          <w:tcPr>
            <w:tcW w:w="2469" w:type="dxa"/>
            <w:shd w:val="clear" w:color="auto" w:fill="auto"/>
            <w:hideMark/>
          </w:tcPr>
          <w:p w14:paraId="38C74095" w14:textId="77777777" w:rsidR="00D54642" w:rsidRDefault="00D54642" w:rsidP="00F361E2">
            <w:r w:rsidRPr="007446DD">
              <w:t>Набір реагентів для якісного виявлення РНК вірусу імунодефіциту людини типу 1 (HIV-1) та типу 2 (HIV-1) методом ПЛР в реальному часі  (100 тестів)</w:t>
            </w:r>
          </w:p>
        </w:tc>
        <w:tc>
          <w:tcPr>
            <w:tcW w:w="780" w:type="dxa"/>
            <w:shd w:val="clear" w:color="auto" w:fill="auto"/>
            <w:noWrap/>
            <w:hideMark/>
          </w:tcPr>
          <w:p w14:paraId="4F056726" w14:textId="77777777" w:rsidR="00D54642" w:rsidRDefault="00D54642" w:rsidP="00F361E2">
            <w:pPr>
              <w:jc w:val="center"/>
            </w:pPr>
            <w:r w:rsidRPr="007446DD">
              <w:t>набір</w:t>
            </w:r>
          </w:p>
        </w:tc>
        <w:tc>
          <w:tcPr>
            <w:tcW w:w="1000" w:type="dxa"/>
            <w:shd w:val="clear" w:color="auto" w:fill="auto"/>
            <w:noWrap/>
            <w:hideMark/>
          </w:tcPr>
          <w:p w14:paraId="1D530089" w14:textId="77777777" w:rsidR="00D54642" w:rsidRDefault="00D54642" w:rsidP="00F361E2">
            <w:pPr>
              <w:jc w:val="center"/>
            </w:pPr>
            <w:r w:rsidRPr="007446DD">
              <w:t>2</w:t>
            </w:r>
          </w:p>
        </w:tc>
        <w:tc>
          <w:tcPr>
            <w:tcW w:w="2403" w:type="dxa"/>
            <w:shd w:val="clear" w:color="auto" w:fill="auto"/>
            <w:hideMark/>
          </w:tcPr>
          <w:p w14:paraId="1448588C" w14:textId="77777777" w:rsidR="00D54642" w:rsidRDefault="00D54642" w:rsidP="00F361E2">
            <w:r w:rsidRPr="005D014F">
              <w:t>Код ДК 021:2015 – 33696500-0 - Лабораторні реактиви</w:t>
            </w:r>
          </w:p>
        </w:tc>
        <w:tc>
          <w:tcPr>
            <w:tcW w:w="2590" w:type="dxa"/>
            <w:shd w:val="clear" w:color="FFFFCC" w:fill="FFFFFF"/>
            <w:hideMark/>
          </w:tcPr>
          <w:p w14:paraId="36799EFE" w14:textId="77777777" w:rsidR="00D54642" w:rsidRDefault="00D54642" w:rsidP="00F361E2">
            <w:pPr>
              <w:rPr>
                <w:sz w:val="22"/>
                <w:szCs w:val="22"/>
              </w:rPr>
            </w:pPr>
            <w:r w:rsidRPr="00071C13">
              <w:t>48219 ВІЛ-1/Вірус гепатиту C/Вірус гепатиту В нуклеїнова кислота IVD, реагент</w:t>
            </w:r>
          </w:p>
        </w:tc>
      </w:tr>
      <w:tr w:rsidR="00D54642" w14:paraId="17D05924" w14:textId="77777777" w:rsidTr="00F361E2">
        <w:trPr>
          <w:trHeight w:val="1020"/>
        </w:trPr>
        <w:tc>
          <w:tcPr>
            <w:tcW w:w="945" w:type="dxa"/>
            <w:shd w:val="clear" w:color="auto" w:fill="auto"/>
            <w:noWrap/>
            <w:hideMark/>
          </w:tcPr>
          <w:p w14:paraId="7C5B1B1C" w14:textId="77777777" w:rsidR="00D54642" w:rsidRDefault="00D54642" w:rsidP="00F361E2">
            <w:pPr>
              <w:jc w:val="center"/>
              <w:rPr>
                <w:color w:val="000000"/>
              </w:rPr>
            </w:pPr>
            <w:r w:rsidRPr="00C55543">
              <w:t>Р3663</w:t>
            </w:r>
          </w:p>
        </w:tc>
        <w:tc>
          <w:tcPr>
            <w:tcW w:w="473" w:type="dxa"/>
            <w:shd w:val="clear" w:color="FFFFCC" w:fill="FFFFFF"/>
            <w:noWrap/>
            <w:hideMark/>
          </w:tcPr>
          <w:p w14:paraId="4E2BF77C" w14:textId="77777777" w:rsidR="00D54642" w:rsidRDefault="00D54642" w:rsidP="00F361E2">
            <w:pPr>
              <w:jc w:val="center"/>
            </w:pPr>
            <w:r w:rsidRPr="00EA3620">
              <w:t>2</w:t>
            </w:r>
          </w:p>
        </w:tc>
        <w:tc>
          <w:tcPr>
            <w:tcW w:w="2469" w:type="dxa"/>
            <w:shd w:val="clear" w:color="auto" w:fill="auto"/>
            <w:hideMark/>
          </w:tcPr>
          <w:p w14:paraId="07C222B2" w14:textId="77777777" w:rsidR="00D54642" w:rsidRDefault="00D54642" w:rsidP="00F361E2">
            <w:r w:rsidRPr="007446DD">
              <w:t>Набір реагентів для екстракції нуклейнових кислот  ДНК/РНК, магнітна сорбція (100 тестів)</w:t>
            </w:r>
          </w:p>
        </w:tc>
        <w:tc>
          <w:tcPr>
            <w:tcW w:w="780" w:type="dxa"/>
            <w:shd w:val="clear" w:color="auto" w:fill="auto"/>
            <w:noWrap/>
            <w:hideMark/>
          </w:tcPr>
          <w:p w14:paraId="3DB9C78D" w14:textId="77777777" w:rsidR="00D54642" w:rsidRDefault="00D54642" w:rsidP="00F361E2">
            <w:pPr>
              <w:jc w:val="center"/>
            </w:pPr>
            <w:r w:rsidRPr="007446DD">
              <w:t>набір</w:t>
            </w:r>
          </w:p>
        </w:tc>
        <w:tc>
          <w:tcPr>
            <w:tcW w:w="1000" w:type="dxa"/>
            <w:shd w:val="clear" w:color="auto" w:fill="auto"/>
            <w:noWrap/>
            <w:hideMark/>
          </w:tcPr>
          <w:p w14:paraId="1B29519A" w14:textId="77777777" w:rsidR="00D54642" w:rsidRDefault="00D54642" w:rsidP="00F361E2">
            <w:pPr>
              <w:jc w:val="center"/>
            </w:pPr>
            <w:r w:rsidRPr="007446DD">
              <w:t>4</w:t>
            </w:r>
          </w:p>
        </w:tc>
        <w:tc>
          <w:tcPr>
            <w:tcW w:w="2403" w:type="dxa"/>
            <w:shd w:val="clear" w:color="auto" w:fill="auto"/>
            <w:hideMark/>
          </w:tcPr>
          <w:p w14:paraId="1B2C5192" w14:textId="77777777" w:rsidR="00D54642" w:rsidRDefault="00D54642" w:rsidP="00F361E2">
            <w:r w:rsidRPr="005D014F">
              <w:t>Код ДК 021:2015 – 33696500-0 - Лабораторні реактиви</w:t>
            </w:r>
          </w:p>
        </w:tc>
        <w:tc>
          <w:tcPr>
            <w:tcW w:w="2590" w:type="dxa"/>
            <w:shd w:val="clear" w:color="FFFFCC" w:fill="FFFFFF"/>
            <w:hideMark/>
          </w:tcPr>
          <w:p w14:paraId="0E42129A" w14:textId="77777777" w:rsidR="00D54642" w:rsidRPr="00DE3F46" w:rsidRDefault="00D54642" w:rsidP="00F361E2">
            <w:pPr>
              <w:rPr>
                <w:sz w:val="22"/>
                <w:szCs w:val="22"/>
              </w:rPr>
            </w:pPr>
            <w:r w:rsidRPr="00071C13">
              <w:t>52521 Екстракція/ізоляція нуклеїнових  кислот, набір ІV</w:t>
            </w:r>
            <w:r>
              <w:t>O</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910258E" w14:textId="77777777" w:rsidR="00D54642" w:rsidRPr="000B6FA2" w:rsidRDefault="00D54642" w:rsidP="00D54642">
      <w:pPr>
        <w:spacing w:line="240" w:lineRule="atLeast"/>
        <w:jc w:val="center"/>
        <w:rPr>
          <w:b/>
        </w:rPr>
      </w:pPr>
      <w:r w:rsidRPr="000B6FA2">
        <w:rPr>
          <w:b/>
        </w:rPr>
        <w:t xml:space="preserve">Медико - технічні вимоги на закупівлю реагентів </w:t>
      </w:r>
    </w:p>
    <w:p w14:paraId="7B7DA96D" w14:textId="77777777" w:rsidR="00D54642" w:rsidRPr="000B6FA2" w:rsidRDefault="00D54642" w:rsidP="00D54642">
      <w:pPr>
        <w:spacing w:line="240" w:lineRule="atLeast"/>
        <w:jc w:val="center"/>
        <w:rPr>
          <w:b/>
        </w:rPr>
      </w:pPr>
      <w:r w:rsidRPr="000B6FA2">
        <w:rPr>
          <w:b/>
        </w:rPr>
        <w:t>для Українського – Референс центру з клінічної лабораторної діагностики та метрології  НДСЛ "ОХМАТДИТ" МОЗ України на 2</w:t>
      </w:r>
      <w:r>
        <w:rPr>
          <w:b/>
        </w:rPr>
        <w:t>02</w:t>
      </w:r>
      <w:r w:rsidRPr="00054563">
        <w:rPr>
          <w:b/>
          <w:lang w:val="ru-RU"/>
        </w:rPr>
        <w:t>5</w:t>
      </w:r>
      <w:r>
        <w:rPr>
          <w:b/>
        </w:rPr>
        <w:t xml:space="preserve"> </w:t>
      </w:r>
      <w:r w:rsidRPr="000B6FA2">
        <w:rPr>
          <w:b/>
        </w:rPr>
        <w:t>рік</w:t>
      </w:r>
    </w:p>
    <w:p w14:paraId="1ED9A9B8" w14:textId="77777777" w:rsidR="00D54642" w:rsidRDefault="00D54642" w:rsidP="00D54642">
      <w:pPr>
        <w:spacing w:line="240" w:lineRule="atLeast"/>
        <w:ind w:firstLine="357"/>
        <w:jc w:val="both"/>
        <w:rPr>
          <w:b/>
          <w:u w:val="single"/>
        </w:rPr>
      </w:pPr>
      <w:r w:rsidRPr="000B6FA2">
        <w:rPr>
          <w:b/>
          <w:u w:val="single"/>
        </w:rPr>
        <w:t>Загальні вимоги:</w:t>
      </w:r>
    </w:p>
    <w:p w14:paraId="1F50B9B5" w14:textId="77777777" w:rsidR="00D54642" w:rsidRPr="00F13988" w:rsidRDefault="00D54642" w:rsidP="00D54642">
      <w:pPr>
        <w:spacing w:line="240" w:lineRule="atLeast"/>
        <w:ind w:firstLine="357"/>
        <w:jc w:val="both"/>
      </w:pPr>
      <w:r w:rsidRPr="00F819FB">
        <w:t>Усі  медичні вироби</w:t>
      </w:r>
      <w:r w:rsidRPr="00F819FB">
        <w:rPr>
          <w:lang w:val="ru-RU"/>
        </w:rPr>
        <w:t>,</w:t>
      </w:r>
      <w:r w:rsidRPr="00F819FB">
        <w:t xml:space="preserve"> що представлен</w:t>
      </w:r>
      <w:r>
        <w:t>і</w:t>
      </w:r>
      <w:r w:rsidRPr="00F819FB">
        <w:t xml:space="preserve"> на торги повинні:</w:t>
      </w:r>
    </w:p>
    <w:p w14:paraId="76F121A1" w14:textId="77777777" w:rsidR="00D54642" w:rsidRPr="00B57C29" w:rsidRDefault="00D54642" w:rsidP="00D54642">
      <w:pPr>
        <w:numPr>
          <w:ilvl w:val="0"/>
          <w:numId w:val="3"/>
        </w:numPr>
        <w:spacing w:line="240" w:lineRule="atLeast"/>
        <w:ind w:left="0" w:firstLine="284"/>
        <w:jc w:val="both"/>
      </w:pPr>
      <w:r>
        <w:t>М</w:t>
      </w:r>
      <w:r w:rsidRPr="00F13988">
        <w:t xml:space="preserve">ати </w:t>
      </w:r>
      <w:r w:rsidRPr="00BD1364">
        <w:t>Сертифікат</w:t>
      </w:r>
      <w:r>
        <w:t xml:space="preserve"> </w:t>
      </w:r>
      <w:r w:rsidRPr="00BD1364">
        <w:t xml:space="preserve">відповідності вимогам Технічного регламенту щодо медичних виробів для діагностики in vitro. Сертифікат про відповідність системи управління якістю ДСТУ EN ISO 13485:2018. Декларації про відповідність вимогам Технічного регламенту щодо медичних виробів для діагностики in vitro. </w:t>
      </w:r>
    </w:p>
    <w:p w14:paraId="1BA40544" w14:textId="77777777" w:rsidR="00D54642" w:rsidRPr="000B6FA2" w:rsidRDefault="00D54642" w:rsidP="00D54642">
      <w:pPr>
        <w:spacing w:line="240" w:lineRule="atLeast"/>
        <w:ind w:firstLine="357"/>
        <w:jc w:val="both"/>
      </w:pPr>
      <w:r>
        <w:t>2</w:t>
      </w:r>
      <w:r w:rsidRPr="000B6FA2">
        <w:t>. Мати зазначену на упаковці дату виробництва та термін придатності.</w:t>
      </w:r>
    </w:p>
    <w:p w14:paraId="7E6ACB34" w14:textId="77777777" w:rsidR="00D54642" w:rsidRPr="000B6FA2" w:rsidRDefault="00D54642" w:rsidP="00D54642">
      <w:pPr>
        <w:spacing w:line="240" w:lineRule="atLeast"/>
        <w:ind w:firstLine="357"/>
        <w:jc w:val="both"/>
      </w:pPr>
      <w:r>
        <w:t>3</w:t>
      </w:r>
      <w:r w:rsidRPr="000B6FA2">
        <w:t>.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202915C" w14:textId="77777777" w:rsidR="00D54642" w:rsidRPr="000B6FA2" w:rsidRDefault="00D54642" w:rsidP="00D54642">
      <w:pPr>
        <w:spacing w:line="240" w:lineRule="atLeast"/>
        <w:ind w:firstLine="357"/>
        <w:jc w:val="both"/>
      </w:pPr>
      <w:r>
        <w:t>4</w:t>
      </w:r>
      <w:r w:rsidRPr="000B6FA2">
        <w:t>. Поставлятись не пізніше 30 днів з моменту подання заявки (перевага надається фірмам, що мають склади в Києві та гарантують термінову поставку).</w:t>
      </w:r>
    </w:p>
    <w:p w14:paraId="178F5FD9" w14:textId="77777777" w:rsidR="00D54642" w:rsidRPr="000B6FA2" w:rsidRDefault="00D54642" w:rsidP="00D54642">
      <w:pPr>
        <w:spacing w:line="240" w:lineRule="atLeast"/>
        <w:ind w:firstLine="357"/>
        <w:jc w:val="both"/>
      </w:pPr>
      <w:r>
        <w:t>5</w:t>
      </w:r>
      <w:r w:rsidRPr="000B6FA2">
        <w:t>.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725CD11C" w14:textId="77777777" w:rsidR="00D54642" w:rsidRPr="000B6FA2" w:rsidRDefault="00D54642" w:rsidP="00D54642">
      <w:pPr>
        <w:spacing w:line="240" w:lineRule="atLeast"/>
        <w:ind w:firstLine="357"/>
        <w:jc w:val="both"/>
      </w:pPr>
      <w:r>
        <w:t>6</w:t>
      </w:r>
      <w:r w:rsidRPr="000B6FA2">
        <w:t xml:space="preserve">. </w:t>
      </w:r>
      <w:r>
        <w:t>Мати т</w:t>
      </w:r>
      <w:r w:rsidRPr="0011626E">
        <w:t>ермін придатності набору не менше 12 місяців від дати виготовлення.</w:t>
      </w:r>
    </w:p>
    <w:p w14:paraId="6DCF11BC" w14:textId="77777777" w:rsidR="00D54642" w:rsidRDefault="00D54642" w:rsidP="00D54642">
      <w:pPr>
        <w:spacing w:line="240" w:lineRule="atLeast"/>
        <w:ind w:firstLine="357"/>
        <w:jc w:val="both"/>
      </w:pPr>
      <w:r w:rsidRPr="006117F8">
        <w:t>7. Зберігатися та транспортуватися з дотриманням встановлених вимог до кожної позиції.</w:t>
      </w:r>
    </w:p>
    <w:p w14:paraId="3BE84F29" w14:textId="77777777" w:rsidR="00D54642" w:rsidRPr="006117F8" w:rsidRDefault="00D54642" w:rsidP="00D54642">
      <w:pPr>
        <w:spacing w:line="240" w:lineRule="atLeast"/>
        <w:ind w:firstLine="357"/>
        <w:jc w:val="both"/>
      </w:pPr>
      <w:r>
        <w:t>8. Мати і</w:t>
      </w:r>
      <w:r w:rsidRPr="006117F8">
        <w:t>нструкці</w:t>
      </w:r>
      <w:r>
        <w:t>ю</w:t>
      </w:r>
      <w:r w:rsidRPr="006117F8">
        <w:t xml:space="preserve"> з використання набору українською мовою</w:t>
      </w:r>
      <w:r>
        <w:t>.</w:t>
      </w:r>
    </w:p>
    <w:p w14:paraId="5A31A718" w14:textId="77777777" w:rsidR="00D54642" w:rsidRPr="000B6FA2" w:rsidRDefault="00D54642" w:rsidP="00D54642">
      <w:pPr>
        <w:spacing w:line="240" w:lineRule="atLeast"/>
        <w:ind w:firstLine="357"/>
        <w:jc w:val="both"/>
      </w:pPr>
    </w:p>
    <w:p w14:paraId="3DE41D55" w14:textId="77777777" w:rsidR="00D54642" w:rsidRDefault="00D54642" w:rsidP="00D54642">
      <w:pPr>
        <w:spacing w:line="240" w:lineRule="atLeast"/>
        <w:ind w:firstLine="357"/>
        <w:jc w:val="both"/>
        <w:rPr>
          <w:b/>
          <w:u w:val="single"/>
        </w:rPr>
      </w:pPr>
    </w:p>
    <w:p w14:paraId="73462902" w14:textId="77777777" w:rsidR="00D54642" w:rsidRDefault="00D54642" w:rsidP="00D54642">
      <w:pPr>
        <w:spacing w:line="240" w:lineRule="atLeast"/>
        <w:ind w:firstLine="357"/>
        <w:jc w:val="both"/>
        <w:rPr>
          <w:b/>
          <w:u w:val="single"/>
        </w:rPr>
      </w:pPr>
      <w:r w:rsidRPr="000B6FA2">
        <w:rPr>
          <w:b/>
          <w:u w:val="single"/>
        </w:rPr>
        <w:t>Загальні вимоги до р</w:t>
      </w:r>
      <w:r>
        <w:rPr>
          <w:b/>
          <w:u w:val="single"/>
        </w:rPr>
        <w:t>еагентів</w:t>
      </w:r>
      <w:r w:rsidRPr="000B6FA2">
        <w:rPr>
          <w:b/>
          <w:u w:val="single"/>
        </w:rPr>
        <w:t>:</w:t>
      </w:r>
    </w:p>
    <w:p w14:paraId="65A0177A" w14:textId="77777777" w:rsidR="00D54642" w:rsidRPr="00A843A0" w:rsidRDefault="00D54642" w:rsidP="00D54642">
      <w:pPr>
        <w:spacing w:line="240" w:lineRule="atLeast"/>
        <w:ind w:firstLine="357"/>
        <w:jc w:val="both"/>
        <w:rPr>
          <w:i/>
          <w:iCs/>
        </w:rPr>
      </w:pPr>
      <w:r w:rsidRPr="00A843A0">
        <w:rPr>
          <w:i/>
          <w:iCs/>
        </w:rPr>
        <w:t>Вимоги до наборів реагентів, для якісного виявлення РНК вірусу імунодефіциту людини типу 1 (HIV-1) та типу 2 (HIV-2) методом ПЛР в реальному часі:</w:t>
      </w:r>
    </w:p>
    <w:p w14:paraId="49B196EF" w14:textId="77777777" w:rsidR="00D54642" w:rsidRPr="00811DE9" w:rsidRDefault="00D54642" w:rsidP="00D54642">
      <w:pPr>
        <w:numPr>
          <w:ilvl w:val="0"/>
          <w:numId w:val="4"/>
        </w:numPr>
        <w:spacing w:line="240" w:lineRule="atLeast"/>
        <w:jc w:val="both"/>
      </w:pPr>
      <w:r w:rsidRPr="00811DE9">
        <w:t>Аналітична чутливість набору реагентів повинна бути не більша ніж: HIV</w:t>
      </w:r>
      <w:r>
        <w:t>-</w:t>
      </w:r>
      <w:r w:rsidRPr="00811DE9">
        <w:t xml:space="preserve">1 - 12 копій/мл, HIV </w:t>
      </w:r>
      <w:r>
        <w:t>-</w:t>
      </w:r>
      <w:r w:rsidRPr="00811DE9">
        <w:t>2 - 60 копій/мл.</w:t>
      </w:r>
    </w:p>
    <w:p w14:paraId="3CF83314" w14:textId="77777777" w:rsidR="00D54642" w:rsidRDefault="00D54642" w:rsidP="00D54642">
      <w:pPr>
        <w:numPr>
          <w:ilvl w:val="0"/>
          <w:numId w:val="4"/>
        </w:numPr>
        <w:spacing w:line="240" w:lineRule="atLeast"/>
        <w:jc w:val="both"/>
      </w:pPr>
      <w:r w:rsidRPr="00811DE9">
        <w:t>Аналітична специфічність повинна складати 100%.</w:t>
      </w:r>
    </w:p>
    <w:p w14:paraId="18CC6175" w14:textId="77777777" w:rsidR="00D54642" w:rsidRDefault="00D54642" w:rsidP="00D54642">
      <w:pPr>
        <w:numPr>
          <w:ilvl w:val="0"/>
          <w:numId w:val="4"/>
        </w:numPr>
        <w:spacing w:line="240" w:lineRule="atLeast"/>
        <w:jc w:val="both"/>
      </w:pPr>
      <w:r w:rsidRPr="00D80687">
        <w:t>До набору реагентів</w:t>
      </w:r>
      <w:r>
        <w:t xml:space="preserve"> </w:t>
      </w:r>
      <w:r w:rsidRPr="00D80687">
        <w:t>повинні входити всі необхідні реактиви відповідно до методики проведення аналізу</w:t>
      </w:r>
    </w:p>
    <w:p w14:paraId="73C37B26" w14:textId="77777777" w:rsidR="00D54642" w:rsidRDefault="00D54642" w:rsidP="00D54642">
      <w:pPr>
        <w:numPr>
          <w:ilvl w:val="0"/>
          <w:numId w:val="4"/>
        </w:numPr>
        <w:spacing w:line="240" w:lineRule="atLeast"/>
        <w:jc w:val="both"/>
      </w:pPr>
      <w:r w:rsidRPr="00D80687">
        <w:t>Реактиви повинні мати зручну форму для використання з мінімальним етапом підготовки, містит</w:t>
      </w:r>
      <w:r>
        <w:t xml:space="preserve">и готові до використання суміші для економії часу постановки та </w:t>
      </w:r>
      <w:r w:rsidRPr="00D80687">
        <w:t xml:space="preserve">забезпечення вищої точності аналізу </w:t>
      </w:r>
      <w:r>
        <w:t>і</w:t>
      </w:r>
      <w:r w:rsidRPr="00D80687">
        <w:t xml:space="preserve"> запобігання можливи</w:t>
      </w:r>
      <w:r>
        <w:t>х</w:t>
      </w:r>
      <w:r w:rsidRPr="00D80687">
        <w:t xml:space="preserve"> механічни</w:t>
      </w:r>
      <w:r>
        <w:t>х</w:t>
      </w:r>
      <w:r w:rsidRPr="00D80687">
        <w:t xml:space="preserve"> помил</w:t>
      </w:r>
      <w:r>
        <w:t>ок.</w:t>
      </w:r>
    </w:p>
    <w:p w14:paraId="2D58631B" w14:textId="77777777" w:rsidR="00D54642" w:rsidRDefault="00D54642" w:rsidP="00D54642">
      <w:pPr>
        <w:numPr>
          <w:ilvl w:val="0"/>
          <w:numId w:val="4"/>
        </w:numPr>
        <w:spacing w:line="240" w:lineRule="atLeast"/>
        <w:jc w:val="both"/>
      </w:pPr>
      <w:r w:rsidRPr="00D80687">
        <w:t>Реактиви повинні мати повну комплектацію та неушкоджену упаковк</w:t>
      </w:r>
      <w:r>
        <w:t>у.</w:t>
      </w:r>
    </w:p>
    <w:p w14:paraId="32DED7DA" w14:textId="77777777" w:rsidR="00D54642" w:rsidRDefault="00D54642" w:rsidP="00D54642">
      <w:pPr>
        <w:numPr>
          <w:ilvl w:val="0"/>
          <w:numId w:val="4"/>
        </w:numPr>
        <w:spacing w:line="240" w:lineRule="atLeast"/>
        <w:jc w:val="both"/>
      </w:pPr>
      <w:r w:rsidRPr="00D80687">
        <w:t>При наявності браку реагентів або витратного матеріалу Продавець повинен гарантувати безкоштовну заміну товару не пізніше 30 днів</w:t>
      </w:r>
      <w:r>
        <w:t>.</w:t>
      </w:r>
    </w:p>
    <w:p w14:paraId="2A0BA641" w14:textId="77777777" w:rsidR="00D54642" w:rsidRPr="00184989" w:rsidRDefault="00D54642" w:rsidP="00D54642">
      <w:pPr>
        <w:numPr>
          <w:ilvl w:val="0"/>
          <w:numId w:val="4"/>
        </w:numPr>
        <w:spacing w:line="240" w:lineRule="atLeast"/>
        <w:jc w:val="both"/>
      </w:pPr>
      <w:r w:rsidRPr="00D80687">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r>
        <w:t>.</w:t>
      </w:r>
    </w:p>
    <w:p w14:paraId="1BF5E036" w14:textId="77777777" w:rsidR="00D54642" w:rsidRPr="000E5DE9" w:rsidRDefault="00D54642" w:rsidP="00D54642">
      <w:pPr>
        <w:spacing w:line="240" w:lineRule="atLeast"/>
        <w:ind w:firstLine="357"/>
        <w:jc w:val="both"/>
        <w:rPr>
          <w:i/>
          <w:iCs/>
        </w:rPr>
      </w:pPr>
      <w:r w:rsidRPr="000E5DE9">
        <w:rPr>
          <w:i/>
          <w:iCs/>
        </w:rPr>
        <w:t>Вимоги до наборів реагентів, що призначені для  екстракції нуклеїнових кислот:</w:t>
      </w:r>
    </w:p>
    <w:p w14:paraId="42A72DDE" w14:textId="77777777" w:rsidR="00D54642" w:rsidRDefault="00D54642" w:rsidP="00D54642">
      <w:pPr>
        <w:numPr>
          <w:ilvl w:val="0"/>
          <w:numId w:val="5"/>
        </w:numPr>
        <w:spacing w:line="240" w:lineRule="atLeast"/>
        <w:jc w:val="both"/>
        <w:rPr>
          <w:color w:val="000000"/>
        </w:rPr>
      </w:pPr>
      <w:r>
        <w:rPr>
          <w:color w:val="000000"/>
        </w:rPr>
        <w:t>Набір реагентів для екстракції повинен бути сумісний з набором реагентів для ампліфікації.</w:t>
      </w:r>
    </w:p>
    <w:p w14:paraId="2297649C" w14:textId="77777777" w:rsidR="00D54642" w:rsidRDefault="00D54642" w:rsidP="00D54642">
      <w:pPr>
        <w:numPr>
          <w:ilvl w:val="0"/>
          <w:numId w:val="5"/>
        </w:numPr>
        <w:spacing w:line="240" w:lineRule="atLeast"/>
        <w:jc w:val="both"/>
        <w:rPr>
          <w:color w:val="000000"/>
        </w:rPr>
      </w:pPr>
      <w:r>
        <w:rPr>
          <w:color w:val="000000"/>
        </w:rPr>
        <w:t>Набір реагентів для екстракції повинен бути одного виробника для уніфікації протоколів постановок аналізу.</w:t>
      </w:r>
    </w:p>
    <w:p w14:paraId="24FB68AD" w14:textId="77777777" w:rsidR="00D54642" w:rsidRDefault="00D54642" w:rsidP="00D54642">
      <w:pPr>
        <w:numPr>
          <w:ilvl w:val="0"/>
          <w:numId w:val="5"/>
        </w:numPr>
        <w:spacing w:line="240" w:lineRule="atLeast"/>
        <w:jc w:val="both"/>
      </w:pPr>
      <w:r>
        <w:t xml:space="preserve">Принцип методу набору реагентів для екстракції повинен базуватися на </w:t>
      </w:r>
      <w:r w:rsidRPr="004013B1">
        <w:t>виділенн</w:t>
      </w:r>
      <w:r>
        <w:t>і</w:t>
      </w:r>
      <w:r w:rsidRPr="004013B1">
        <w:t xml:space="preserve"> нуклеїнових кислот </w:t>
      </w:r>
      <w:r>
        <w:t xml:space="preserve">з </w:t>
      </w:r>
      <w:r w:rsidRPr="004013B1">
        <w:t>використ</w:t>
      </w:r>
      <w:r>
        <w:t xml:space="preserve">анням </w:t>
      </w:r>
      <w:r w:rsidRPr="004013B1">
        <w:t xml:space="preserve"> магнітн</w:t>
      </w:r>
      <w:r>
        <w:t>их частинок.</w:t>
      </w: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775F4951" w14:textId="77777777" w:rsidR="00DB08EC" w:rsidRDefault="00DB08EC" w:rsidP="00CD2FE3"/>
    <w:p w14:paraId="1D8CA2C9" w14:textId="77777777" w:rsidR="00DB08EC" w:rsidRPr="00AB71C4" w:rsidRDefault="00DB08EC" w:rsidP="00CD2FE3"/>
    <w:p w14:paraId="436348D2" w14:textId="4B6EA755" w:rsidR="00DB08EC" w:rsidRPr="00DB08EC" w:rsidRDefault="00DB08EC" w:rsidP="00CD2FE3">
      <w:pPr>
        <w:ind w:firstLine="708"/>
        <w:jc w:val="both"/>
        <w:rPr>
          <w:bCs/>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 xml:space="preserve">ає </w:t>
      </w:r>
      <w:bookmarkStart w:id="4" w:name="_Hlk215484626"/>
      <w:bookmarkEnd w:id="3"/>
      <w:r w:rsidR="00D54642" w:rsidRPr="00D54642">
        <w:rPr>
          <w:color w:val="000000"/>
          <w:lang w:val="ru-RU"/>
        </w:rPr>
        <w:t>35</w:t>
      </w:r>
      <w:r w:rsidR="00D54642">
        <w:rPr>
          <w:color w:val="000000"/>
          <w:lang w:val="en-US"/>
        </w:rPr>
        <w:t> </w:t>
      </w:r>
      <w:r w:rsidR="00D54642" w:rsidRPr="00D54642">
        <w:rPr>
          <w:color w:val="000000"/>
          <w:lang w:val="ru-RU"/>
        </w:rPr>
        <w:t>600,00</w:t>
      </w:r>
      <w:r w:rsidR="00BE178A">
        <w:rPr>
          <w:color w:val="000000"/>
        </w:rPr>
        <w:t xml:space="preserve"> </w:t>
      </w:r>
      <w:r w:rsidR="00E63FC3" w:rsidRPr="00E63FC3">
        <w:rPr>
          <w:color w:val="000000"/>
        </w:rPr>
        <w:t>грн.</w:t>
      </w:r>
      <w:r w:rsidR="00EF5D4D">
        <w:rPr>
          <w:color w:val="000000"/>
        </w:rPr>
        <w:t xml:space="preserve"> </w:t>
      </w:r>
      <w:r w:rsidR="00E63FC3" w:rsidRPr="00E63FC3">
        <w:rPr>
          <w:color w:val="000000"/>
        </w:rPr>
        <w:t>(</w:t>
      </w:r>
      <w:bookmarkStart w:id="5" w:name="_Hlk215484411"/>
      <w:r w:rsidR="00D54642">
        <w:rPr>
          <w:color w:val="000000"/>
        </w:rPr>
        <w:t>т</w:t>
      </w:r>
      <w:r w:rsidR="00D54642" w:rsidRPr="00D54642">
        <w:rPr>
          <w:color w:val="000000"/>
        </w:rPr>
        <w:t>ридцять п'ять тисяч шістсот гривень 00 копійок</w:t>
      </w:r>
      <w:bookmarkEnd w:id="5"/>
      <w:r w:rsidR="00E63FC3" w:rsidRPr="00E63FC3">
        <w:rPr>
          <w:color w:val="000000"/>
        </w:rPr>
        <w:t>) з ПДВ</w:t>
      </w:r>
      <w:bookmarkEnd w:id="4"/>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4"/>
  </w:num>
  <w:num w:numId="3" w16cid:durableId="161971634">
    <w:abstractNumId w:val="2"/>
  </w:num>
  <w:num w:numId="4" w16cid:durableId="777723274">
    <w:abstractNumId w:val="3"/>
  </w:num>
  <w:num w:numId="5" w16cid:durableId="197336004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E7329"/>
    <w:rsid w:val="001F36E4"/>
    <w:rsid w:val="00293C3D"/>
    <w:rsid w:val="002E61D3"/>
    <w:rsid w:val="0039040B"/>
    <w:rsid w:val="003F08E8"/>
    <w:rsid w:val="004432B0"/>
    <w:rsid w:val="004C00B2"/>
    <w:rsid w:val="004C4509"/>
    <w:rsid w:val="004E3803"/>
    <w:rsid w:val="0052468D"/>
    <w:rsid w:val="00577FCD"/>
    <w:rsid w:val="005C22AE"/>
    <w:rsid w:val="005F5AA5"/>
    <w:rsid w:val="00677D49"/>
    <w:rsid w:val="007018F6"/>
    <w:rsid w:val="007E3784"/>
    <w:rsid w:val="008E1B80"/>
    <w:rsid w:val="00930A00"/>
    <w:rsid w:val="009570AE"/>
    <w:rsid w:val="00965B84"/>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6040"/>
    <w:rsid w:val="00CD2FE3"/>
    <w:rsid w:val="00CE064B"/>
    <w:rsid w:val="00CF20C1"/>
    <w:rsid w:val="00D54642"/>
    <w:rsid w:val="00D91CF1"/>
    <w:rsid w:val="00DB08EC"/>
    <w:rsid w:val="00E018E9"/>
    <w:rsid w:val="00E13E39"/>
    <w:rsid w:val="00E56383"/>
    <w:rsid w:val="00E63FC3"/>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2860</Words>
  <Characters>1631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41</cp:revision>
  <cp:lastPrinted>2025-01-20T07:48:00Z</cp:lastPrinted>
  <dcterms:created xsi:type="dcterms:W3CDTF">2025-01-30T07:30:00Z</dcterms:created>
  <dcterms:modified xsi:type="dcterms:W3CDTF">2025-12-01T10:41:00Z</dcterms:modified>
</cp:coreProperties>
</file>