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F1E3" w14:textId="77777777" w:rsidR="00D5152A" w:rsidRDefault="00D5152A" w:rsidP="00D5152A">
      <w:pPr>
        <w:pStyle w:val="ac"/>
        <w:ind w:left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КАРТКА ЗАХОДУ</w:t>
      </w:r>
    </w:p>
    <w:p w14:paraId="487553C7" w14:textId="77777777" w:rsidR="00D5152A" w:rsidRDefault="00D5152A" w:rsidP="00D5152A">
      <w:pPr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</w:t>
      </w:r>
      <w:r>
        <w:rPr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>
        <w:rPr>
          <w:color w:val="000000"/>
          <w:sz w:val="24"/>
          <w:szCs w:val="24"/>
          <w:lang w:val="uk-UA"/>
        </w:rPr>
        <w:t>)</w:t>
      </w:r>
    </w:p>
    <w:p w14:paraId="581BC99D" w14:textId="77777777" w:rsidR="00D5152A" w:rsidRDefault="00D5152A" w:rsidP="00D5152A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БПР ПРАЦІВНИКІВ СФЕРИ ОХОРОНИ ЗДОРОВ’Я</w:t>
      </w:r>
    </w:p>
    <w:p w14:paraId="3D128173" w14:textId="77777777" w:rsidR="00D5152A" w:rsidRDefault="00D5152A" w:rsidP="00D5152A">
      <w:pPr>
        <w:jc w:val="center"/>
        <w:rPr>
          <w:b/>
          <w:bCs/>
          <w:sz w:val="12"/>
          <w:szCs w:val="12"/>
          <w:lang w:val="uk-UA"/>
        </w:rPr>
      </w:pPr>
    </w:p>
    <w:tbl>
      <w:tblPr>
        <w:tblStyle w:val="ae"/>
        <w:tblW w:w="109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22"/>
        <w:gridCol w:w="8223"/>
      </w:tblGrid>
      <w:tr w:rsidR="00D5152A" w14:paraId="1C738398" w14:textId="77777777" w:rsidTr="007C2140">
        <w:trPr>
          <w:trHeight w:val="44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475" w14:textId="77777777" w:rsidR="00D5152A" w:rsidRDefault="00D5152A" w:rsidP="007A6D56">
            <w:pPr>
              <w:pStyle w:val="a7"/>
              <w:widowControl/>
              <w:numPr>
                <w:ilvl w:val="0"/>
                <w:numId w:val="1"/>
              </w:numPr>
              <w:autoSpaceDE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2183" w14:textId="3DC90307" w:rsidR="00D5152A" w:rsidRDefault="00234D10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34D10">
              <w:rPr>
                <w:b/>
                <w:bCs/>
                <w:sz w:val="24"/>
                <w:szCs w:val="24"/>
                <w:lang w:val="uk-UA"/>
              </w:rPr>
              <w:t xml:space="preserve">Актуальні питання дитячої </w:t>
            </w:r>
            <w:proofErr w:type="spellStart"/>
            <w:r w:rsidRPr="00234D10">
              <w:rPr>
                <w:b/>
                <w:bCs/>
                <w:sz w:val="24"/>
                <w:szCs w:val="24"/>
                <w:lang w:val="uk-UA"/>
              </w:rPr>
              <w:t>сомнології</w:t>
            </w:r>
            <w:proofErr w:type="spellEnd"/>
            <w:r w:rsidRPr="00234D1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34D10">
              <w:rPr>
                <w:b/>
                <w:bCs/>
                <w:sz w:val="24"/>
                <w:szCs w:val="24"/>
                <w:lang w:val="uk-UA"/>
              </w:rPr>
              <w:br/>
            </w:r>
          </w:p>
        </w:tc>
      </w:tr>
      <w:tr w:rsidR="00D5152A" w14:paraId="6CFC2BE6" w14:textId="77777777" w:rsidTr="007C2140">
        <w:trPr>
          <w:trHeight w:val="97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325E" w14:textId="77777777" w:rsidR="00D5152A" w:rsidRDefault="00D5152A" w:rsidP="007A6D56">
            <w:pPr>
              <w:pStyle w:val="a7"/>
              <w:widowControl/>
              <w:numPr>
                <w:ilvl w:val="0"/>
                <w:numId w:val="1"/>
              </w:numPr>
              <w:autoSpaceDE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Провайдера </w:t>
            </w:r>
            <w:r>
              <w:rPr>
                <w:sz w:val="18"/>
                <w:szCs w:val="18"/>
                <w:lang w:val="uk-UA"/>
              </w:rPr>
              <w:t>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F2F4" w14:textId="77777777" w:rsidR="00D5152A" w:rsidRDefault="00D5152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Державне некомерційне підприємство </w:t>
            </w:r>
          </w:p>
          <w:p w14:paraId="709933F5" w14:textId="77777777" w:rsidR="00D5152A" w:rsidRDefault="00D51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«Національна дитяча спеціалізована лікарня «Охматдит» МОЗ України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  <w:p w14:paraId="406B3C7C" w14:textId="77777777" w:rsidR="00D5152A" w:rsidRDefault="00D5152A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 2127</w:t>
            </w:r>
          </w:p>
        </w:tc>
      </w:tr>
      <w:tr w:rsidR="00D5152A" w:rsidRPr="002718C0" w14:paraId="1E9BD139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0201" w14:textId="77777777" w:rsidR="00D5152A" w:rsidRDefault="00D5152A" w:rsidP="007A6D56">
            <w:pPr>
              <w:pStyle w:val="a7"/>
              <w:widowControl/>
              <w:numPr>
                <w:ilvl w:val="0"/>
                <w:numId w:val="1"/>
              </w:numPr>
              <w:autoSpaceDE/>
              <w:ind w:left="284" w:right="-106" w:hanging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Виконавець/виконавці заходу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A61F" w14:textId="77777777" w:rsidR="00D5152A" w:rsidRDefault="00D5152A">
            <w:pPr>
              <w:ind w:left="-173" w:right="5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Державне некомерційне підприємство «Національна дитяча спеціалізована лікарня «Охматдит» МОЗ України»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5152A" w:rsidRPr="002718C0" w14:paraId="2147C843" w14:textId="77777777" w:rsidTr="002718C0">
        <w:trPr>
          <w:trHeight w:val="14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4901" w14:textId="77777777" w:rsidR="00D5152A" w:rsidRDefault="00D5152A" w:rsidP="007A6D56">
            <w:pPr>
              <w:pStyle w:val="a7"/>
              <w:widowControl/>
              <w:numPr>
                <w:ilvl w:val="0"/>
                <w:numId w:val="1"/>
              </w:numPr>
              <w:autoSpaceDE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Цільова аудиторія </w:t>
            </w:r>
            <w:r>
              <w:rPr>
                <w:sz w:val="18"/>
                <w:szCs w:val="18"/>
                <w:lang w:val="uk-UA"/>
              </w:rPr>
              <w:t>(відповідно до Номенклатури лікарських спеціальностей)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0B24" w14:textId="77777777" w:rsidR="00750F27" w:rsidRPr="00750F27" w:rsidRDefault="00750F27" w:rsidP="00750F27">
            <w:pPr>
              <w:rPr>
                <w:sz w:val="20"/>
                <w:szCs w:val="20"/>
                <w:lang w:val="uk-UA"/>
              </w:rPr>
            </w:pPr>
            <w:r w:rsidRPr="006B7281">
              <w:rPr>
                <w:bCs/>
                <w:sz w:val="20"/>
                <w:szCs w:val="20"/>
                <w:lang w:val="uk-UA"/>
              </w:rPr>
              <w:t xml:space="preserve">Лікарські спеціальності загального профілю, Лікарські спеціальності нехірургічного профілю, Лікарські спеціальності хірургічного профілю, Лікарські спеціальності психолого-психіатричного профілю, Лікарські спеціальності медико-профілактичного профілю, Інші лікарські спеціальності, Спеціальності професіоналів медико-профілактичного профілю, Спеціальності професіоналів медико-лабораторного профілю, </w:t>
            </w:r>
            <w:proofErr w:type="spellStart"/>
            <w:r w:rsidRPr="006B7281">
              <w:rPr>
                <w:bCs/>
                <w:sz w:val="20"/>
                <w:szCs w:val="20"/>
                <w:lang w:val="uk-UA"/>
              </w:rPr>
              <w:t>Медсестринські</w:t>
            </w:r>
            <w:proofErr w:type="spellEnd"/>
            <w:r w:rsidRPr="006B7281">
              <w:rPr>
                <w:bCs/>
                <w:sz w:val="20"/>
                <w:szCs w:val="20"/>
                <w:lang w:val="uk-UA"/>
              </w:rPr>
              <w:t xml:space="preserve"> спеціальності, Спеціальності фахівців медико-профілактичного, медико-лабораторного профілю</w:t>
            </w:r>
          </w:p>
          <w:p w14:paraId="5BF664BE" w14:textId="77777777" w:rsidR="00F13607" w:rsidRDefault="00F13607" w:rsidP="0049560C">
            <w:pPr>
              <w:rPr>
                <w:bCs/>
                <w:sz w:val="18"/>
                <w:szCs w:val="18"/>
                <w:lang w:val="uk-UA"/>
              </w:rPr>
            </w:pPr>
          </w:p>
          <w:p w14:paraId="1E1B8847" w14:textId="05AF86D4" w:rsidR="00F13607" w:rsidRDefault="00F13607" w:rsidP="0049560C">
            <w:pPr>
              <w:rPr>
                <w:bCs/>
                <w:sz w:val="24"/>
                <w:szCs w:val="24"/>
                <w:lang w:val="uk-UA"/>
              </w:rPr>
            </w:pPr>
          </w:p>
        </w:tc>
      </w:tr>
      <w:tr w:rsidR="00D5152A" w:rsidRPr="002718C0" w14:paraId="77A67847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7C38" w14:textId="77777777" w:rsidR="00D5152A" w:rsidRDefault="00D5152A" w:rsidP="00D5152A">
            <w:pPr>
              <w:pStyle w:val="a7"/>
              <w:widowControl/>
              <w:numPr>
                <w:ilvl w:val="0"/>
                <w:numId w:val="1"/>
              </w:numPr>
              <w:autoSpaceDE/>
              <w:spacing w:after="200" w:line="288" w:lineRule="auto"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4DEE" w14:textId="1D88623E" w:rsidR="00D5152A" w:rsidRDefault="009609F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Науково-практична конференція з міжнародною участю</w:t>
            </w:r>
            <w:r w:rsidR="00D5152A">
              <w:rPr>
                <w:bCs/>
                <w:sz w:val="24"/>
                <w:szCs w:val="24"/>
                <w:lang w:val="uk-UA"/>
              </w:rPr>
              <w:t xml:space="preserve">   </w:t>
            </w:r>
          </w:p>
        </w:tc>
      </w:tr>
      <w:tr w:rsidR="00D5152A" w14:paraId="43D2B864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2D4F" w14:textId="77777777" w:rsidR="00D5152A" w:rsidRDefault="00D5152A" w:rsidP="007A6D56">
            <w:pPr>
              <w:pStyle w:val="a7"/>
              <w:widowControl/>
              <w:numPr>
                <w:ilvl w:val="0"/>
                <w:numId w:val="1"/>
              </w:numPr>
              <w:autoSpaceDE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10BB" w14:textId="21B5642F" w:rsidR="00D5152A" w:rsidRDefault="009609F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D5152A">
              <w:rPr>
                <w:b/>
                <w:bCs/>
                <w:sz w:val="24"/>
                <w:szCs w:val="24"/>
                <w:lang w:val="uk-UA"/>
              </w:rPr>
              <w:t>00</w:t>
            </w:r>
          </w:p>
        </w:tc>
      </w:tr>
      <w:tr w:rsidR="00D5152A" w:rsidRPr="002718C0" w14:paraId="661761C9" w14:textId="77777777" w:rsidTr="007C2140">
        <w:trPr>
          <w:trHeight w:val="48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A1BC" w14:textId="77777777" w:rsidR="00D5152A" w:rsidRDefault="00D5152A" w:rsidP="007A6D56">
            <w:pPr>
              <w:pStyle w:val="a7"/>
              <w:widowControl/>
              <w:numPr>
                <w:ilvl w:val="0"/>
                <w:numId w:val="1"/>
              </w:numPr>
              <w:autoSpaceDE/>
              <w:ind w:left="284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Організаційний комітет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EC3" w14:textId="552E4F49" w:rsidR="00D5152A" w:rsidRDefault="00D5152A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Т.П.,  Орлова Т.О., Шевченко Р.</w:t>
            </w:r>
            <w:r w:rsidR="009809E1">
              <w:rPr>
                <w:sz w:val="24"/>
                <w:szCs w:val="24"/>
                <w:lang w:val="uk-UA"/>
              </w:rPr>
              <w:t xml:space="preserve">Г., </w:t>
            </w:r>
            <w:r>
              <w:rPr>
                <w:sz w:val="24"/>
                <w:szCs w:val="24"/>
                <w:lang w:val="uk-UA"/>
              </w:rPr>
              <w:t>Козелкова М.Б.</w:t>
            </w:r>
            <w:r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Цоколова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5152A" w14:paraId="5E676458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8C8" w14:textId="77777777" w:rsidR="00D5152A" w:rsidRDefault="00D5152A">
            <w:pPr>
              <w:pStyle w:val="a7"/>
              <w:widowControl/>
              <w:autoSpaceDE/>
              <w:ind w:left="-142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8.  Резолюція заходу 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258D" w14:textId="77777777" w:rsidR="00D5152A" w:rsidRDefault="00D5152A">
            <w:pPr>
              <w:tabs>
                <w:tab w:val="left" w:pos="459"/>
              </w:tabs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D5152A" w:rsidRPr="002718C0" w14:paraId="781A9306" w14:textId="77777777" w:rsidTr="007C2140">
        <w:trPr>
          <w:trHeight w:val="86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0CE" w14:textId="77777777" w:rsidR="00D5152A" w:rsidRDefault="00D5152A">
            <w:pPr>
              <w:widowControl/>
              <w:autoSpaceDE/>
              <w:ind w:right="-106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9.Мета заходу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C8CD" w14:textId="69C452E0" w:rsidR="0039181A" w:rsidRPr="000C0F93" w:rsidRDefault="000C0F93" w:rsidP="0039181A">
            <w:pPr>
              <w:jc w:val="both"/>
              <w:rPr>
                <w:lang w:val="uk-UA"/>
              </w:rPr>
            </w:pPr>
            <w:r w:rsidRPr="000C0F93">
              <w:rPr>
                <w:lang w:val="uk-UA"/>
              </w:rPr>
              <w:t>Пі</w:t>
            </w:r>
            <w:r w:rsidR="0039181A" w:rsidRPr="000C0F93">
              <w:rPr>
                <w:lang w:val="uk-UA"/>
              </w:rPr>
              <w:t>двищення професійної обізнаності лікарів щодо сучасних підходів до діагностики, моніторингу та лікування порушень сну у дітей різного віку; інтеграція доказових практик у клінічну роботу; розвиток міждисциплінарної співпраці; впровадження міжнародного досвіду в систему надання медичної допомоги дітям в Україні</w:t>
            </w:r>
            <w:r w:rsidR="00370DB8" w:rsidRPr="000C0F93">
              <w:rPr>
                <w:lang w:val="uk-UA"/>
              </w:rPr>
              <w:t xml:space="preserve"> </w:t>
            </w:r>
          </w:p>
          <w:p w14:paraId="616B9AB2" w14:textId="6CF3307E" w:rsidR="00D5152A" w:rsidRPr="000C0F93" w:rsidRDefault="00D5152A">
            <w:pPr>
              <w:rPr>
                <w:bCs/>
                <w:lang w:val="uk-UA"/>
              </w:rPr>
            </w:pPr>
          </w:p>
        </w:tc>
      </w:tr>
      <w:tr w:rsidR="00D5152A" w14:paraId="4AB045E6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50C1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 Форма заходу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D475" w14:textId="3414615E" w:rsidR="00D5152A" w:rsidRDefault="0013417A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О</w:t>
            </w:r>
            <w:r w:rsidR="00D5152A">
              <w:rPr>
                <w:bCs/>
                <w:sz w:val="24"/>
                <w:szCs w:val="24"/>
                <w:lang w:val="uk-UA"/>
              </w:rPr>
              <w:t>флайн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, онлайн</w:t>
            </w:r>
          </w:p>
        </w:tc>
      </w:tr>
      <w:tr w:rsidR="00D5152A" w14:paraId="02085386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67A3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 Кількість балів БПР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C54F" w14:textId="4A6D68F4" w:rsidR="00D5152A" w:rsidRDefault="00D5152A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Тривалість 7 акад</w:t>
            </w:r>
            <w:r w:rsidR="00251B7C">
              <w:rPr>
                <w:bCs/>
                <w:sz w:val="24"/>
                <w:szCs w:val="24"/>
                <w:lang w:val="uk-UA"/>
              </w:rPr>
              <w:t xml:space="preserve">емічних </w:t>
            </w:r>
            <w:r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D5152A" w14:paraId="67D39AF6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FDC5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 Дата заходу БПР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29FE" w14:textId="77777777" w:rsidR="00D5152A" w:rsidRDefault="00D5152A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27.03.2026 року</w:t>
            </w:r>
          </w:p>
        </w:tc>
      </w:tr>
      <w:tr w:rsidR="00D5152A" w14:paraId="2980D0D4" w14:textId="77777777" w:rsidTr="007C2140">
        <w:trPr>
          <w:trHeight w:val="4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B738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 Місце проведення заходу БПР (повна адреса)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BB36" w14:textId="77777777" w:rsidR="00D5152A" w:rsidRDefault="00D5152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м. Київ, вул.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Чорновола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28/1,  1 поверх, </w:t>
            </w:r>
          </w:p>
          <w:p w14:paraId="7243AE40" w14:textId="77777777" w:rsidR="00D5152A" w:rsidRDefault="00D5152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актова зала</w:t>
            </w:r>
          </w:p>
        </w:tc>
      </w:tr>
      <w:tr w:rsidR="00D5152A" w:rsidRPr="002718C0" w14:paraId="4DF15E50" w14:textId="77777777" w:rsidTr="007C2140">
        <w:trPr>
          <w:trHeight w:val="46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1E12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 Прізвище, ім’я та по батькові доповідачів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7632" w14:textId="0375027C" w:rsidR="00AF5DB2" w:rsidRPr="00416ADE" w:rsidRDefault="00BD10F4">
            <w:pPr>
              <w:rPr>
                <w:lang w:val="uk-UA"/>
              </w:rPr>
            </w:pPr>
            <w:proofErr w:type="spellStart"/>
            <w:r w:rsidRPr="00416ADE">
              <w:rPr>
                <w:lang w:val="uk-UA"/>
              </w:rPr>
              <w:t>Головатюк</w:t>
            </w:r>
            <w:proofErr w:type="spellEnd"/>
            <w:r w:rsidRPr="00416ADE">
              <w:rPr>
                <w:lang w:val="uk-UA"/>
              </w:rPr>
              <w:t xml:space="preserve"> Ірина Володимирівна,</w:t>
            </w:r>
            <w:r w:rsidR="007C2140" w:rsidRPr="00416ADE">
              <w:rPr>
                <w:lang w:val="uk-UA"/>
              </w:rPr>
              <w:t xml:space="preserve"> Котляр Оксана Олександрівна, </w:t>
            </w:r>
            <w:r w:rsidR="007967D2" w:rsidRPr="00416ADE">
              <w:rPr>
                <w:lang w:val="uk-UA"/>
              </w:rPr>
              <w:t>Кучерява Карина Олегівна,</w:t>
            </w:r>
            <w:r w:rsidR="00AF5DB2" w:rsidRPr="00416ADE">
              <w:rPr>
                <w:lang w:val="uk-UA"/>
              </w:rPr>
              <w:t xml:space="preserve"> </w:t>
            </w:r>
            <w:proofErr w:type="spellStart"/>
            <w:r w:rsidR="00AF5DB2" w:rsidRPr="00416ADE">
              <w:rPr>
                <w:lang w:val="uk-UA"/>
              </w:rPr>
              <w:t>Летичевська</w:t>
            </w:r>
            <w:proofErr w:type="spellEnd"/>
            <w:r w:rsidR="00AF5DB2" w:rsidRPr="00416ADE">
              <w:rPr>
                <w:lang w:val="uk-UA"/>
              </w:rPr>
              <w:t xml:space="preserve"> Вероніка </w:t>
            </w:r>
            <w:proofErr w:type="spellStart"/>
            <w:r w:rsidR="00AF5DB2" w:rsidRPr="00416ADE">
              <w:rPr>
                <w:lang w:val="uk-UA"/>
              </w:rPr>
              <w:t>Олександріна</w:t>
            </w:r>
            <w:proofErr w:type="spellEnd"/>
            <w:r w:rsidR="00AF5DB2" w:rsidRPr="00416ADE">
              <w:rPr>
                <w:lang w:val="uk-UA"/>
              </w:rPr>
              <w:t xml:space="preserve">, </w:t>
            </w:r>
            <w:r w:rsidR="0038156C" w:rsidRPr="00416ADE">
              <w:rPr>
                <w:lang w:val="uk-UA"/>
              </w:rPr>
              <w:t>Орлова Тетяна Олександрівна</w:t>
            </w:r>
            <w:r w:rsidR="00E20F36" w:rsidRPr="00416ADE">
              <w:rPr>
                <w:lang w:val="uk-UA"/>
              </w:rPr>
              <w:t>,</w:t>
            </w:r>
            <w:r w:rsidR="005A194C" w:rsidRPr="00416ADE">
              <w:rPr>
                <w:lang w:val="uk-UA"/>
              </w:rPr>
              <w:t xml:space="preserve"> </w:t>
            </w:r>
            <w:proofErr w:type="spellStart"/>
            <w:r w:rsidR="005A194C" w:rsidRPr="00416ADE">
              <w:rPr>
                <w:lang w:val="uk-UA"/>
              </w:rPr>
              <w:t>Погорецький</w:t>
            </w:r>
            <w:proofErr w:type="spellEnd"/>
            <w:r w:rsidR="005A194C" w:rsidRPr="00416ADE">
              <w:rPr>
                <w:lang w:val="uk-UA"/>
              </w:rPr>
              <w:t xml:space="preserve"> Юрій Несторович,</w:t>
            </w:r>
            <w:r w:rsidR="005817E4" w:rsidRPr="00416ADE">
              <w:rPr>
                <w:lang w:val="uk-UA"/>
              </w:rPr>
              <w:t xml:space="preserve"> Тарасюк Ольга Василівна,</w:t>
            </w:r>
            <w:r w:rsidR="00F339DA" w:rsidRPr="00416ADE">
              <w:rPr>
                <w:lang w:val="uk-UA"/>
              </w:rPr>
              <w:t xml:space="preserve"> </w:t>
            </w:r>
            <w:proofErr w:type="spellStart"/>
            <w:r w:rsidR="00F339DA" w:rsidRPr="00416ADE">
              <w:rPr>
                <w:lang w:val="uk-UA"/>
              </w:rPr>
              <w:t>Тичківська</w:t>
            </w:r>
            <w:proofErr w:type="spellEnd"/>
            <w:r w:rsidR="00F339DA" w:rsidRPr="00416ADE">
              <w:rPr>
                <w:lang w:val="uk-UA"/>
              </w:rPr>
              <w:t xml:space="preserve"> Ольга Мирославівна,</w:t>
            </w:r>
            <w:r w:rsidR="00416ADE" w:rsidRPr="00416ADE">
              <w:rPr>
                <w:lang w:val="uk-UA"/>
              </w:rPr>
              <w:t xml:space="preserve"> Шевченко Роман Геннадійович</w:t>
            </w:r>
          </w:p>
        </w:tc>
      </w:tr>
      <w:tr w:rsidR="00D5152A" w:rsidRPr="002718C0" w14:paraId="18ECB93D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1088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 Резюме доповідачів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899" w14:textId="47F5E775" w:rsidR="00D5152A" w:rsidRPr="001B785A" w:rsidRDefault="00D5152A" w:rsidP="009609F0">
            <w:pPr>
              <w:ind w:right="-108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 w:rsidRPr="001B785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609F0" w:rsidRPr="001B785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16ADE" w:rsidRPr="001B785A">
              <w:rPr>
                <w:sz w:val="20"/>
                <w:szCs w:val="20"/>
                <w:lang w:val="uk-UA"/>
              </w:rPr>
              <w:t>Головатюк</w:t>
            </w:r>
            <w:proofErr w:type="spellEnd"/>
            <w:r w:rsidR="00416ADE" w:rsidRPr="001B785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16ADE" w:rsidRPr="001B785A">
              <w:rPr>
                <w:sz w:val="20"/>
                <w:szCs w:val="20"/>
                <w:lang w:val="uk-UA"/>
              </w:rPr>
              <w:t>І.В.</w:t>
            </w:r>
            <w:r w:rsidR="00391BA7" w:rsidRPr="001B785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,лікар</w:t>
            </w:r>
            <w:proofErr w:type="spellEnd"/>
            <w:r w:rsidR="00391BA7" w:rsidRPr="001B785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-невролог дитячий, лікар функціональної діагностики відділення нейрохірургії </w:t>
            </w:r>
            <w:r w:rsidR="00391BA7" w:rsidRPr="001B785A">
              <w:rPr>
                <w:sz w:val="20"/>
                <w:szCs w:val="20"/>
                <w:lang w:val="uk-UA"/>
              </w:rPr>
              <w:t>ДНП «НДСЛ Охматдит» МОЗ України</w:t>
            </w:r>
            <w:r w:rsidR="00416ADE" w:rsidRPr="001B785A">
              <w:rPr>
                <w:sz w:val="20"/>
                <w:szCs w:val="20"/>
                <w:lang w:val="uk-UA"/>
              </w:rPr>
              <w:t>, Котляр О.О</w:t>
            </w:r>
            <w:r w:rsidR="006C25F2" w:rsidRPr="001B785A">
              <w:rPr>
                <w:sz w:val="20"/>
                <w:szCs w:val="20"/>
                <w:lang w:val="uk-UA"/>
              </w:rPr>
              <w:t xml:space="preserve">., </w:t>
            </w:r>
            <w:r w:rsidR="0030541E" w:rsidRPr="001B785A">
              <w:rPr>
                <w:sz w:val="20"/>
                <w:szCs w:val="20"/>
                <w:lang w:val="uk-UA"/>
              </w:rPr>
              <w:t>л</w:t>
            </w:r>
            <w:r w:rsidR="006C25F2" w:rsidRPr="001B785A">
              <w:rPr>
                <w:sz w:val="20"/>
                <w:szCs w:val="20"/>
                <w:lang w:val="uk-UA"/>
              </w:rPr>
              <w:t xml:space="preserve">ікар функціональної діагностики кабінету «Комплексного </w:t>
            </w:r>
            <w:proofErr w:type="spellStart"/>
            <w:r w:rsidR="006C25F2" w:rsidRPr="001B785A">
              <w:rPr>
                <w:sz w:val="20"/>
                <w:szCs w:val="20"/>
                <w:lang w:val="uk-UA"/>
              </w:rPr>
              <w:t>нейромоніторингу</w:t>
            </w:r>
            <w:proofErr w:type="spellEnd"/>
            <w:r w:rsidR="006C25F2" w:rsidRPr="001B785A">
              <w:rPr>
                <w:sz w:val="20"/>
                <w:szCs w:val="20"/>
                <w:lang w:val="uk-UA"/>
              </w:rPr>
              <w:t xml:space="preserve"> з дитячою лабораторією сну» Відділення </w:t>
            </w:r>
            <w:proofErr w:type="spellStart"/>
            <w:r w:rsidR="006C25F2" w:rsidRPr="001B785A">
              <w:rPr>
                <w:sz w:val="20"/>
                <w:szCs w:val="20"/>
                <w:lang w:val="uk-UA"/>
              </w:rPr>
              <w:t>постінтенсивного</w:t>
            </w:r>
            <w:proofErr w:type="spellEnd"/>
            <w:r w:rsidR="006C25F2" w:rsidRPr="001B785A">
              <w:rPr>
                <w:sz w:val="20"/>
                <w:szCs w:val="20"/>
                <w:lang w:val="uk-UA"/>
              </w:rPr>
              <w:t xml:space="preserve"> лікування та виходжування передчасно народжених дітей</w:t>
            </w:r>
            <w:r w:rsidR="00416ADE" w:rsidRPr="001B785A">
              <w:rPr>
                <w:sz w:val="20"/>
                <w:szCs w:val="20"/>
                <w:lang w:val="uk-UA"/>
              </w:rPr>
              <w:t>., Кучерява К.О.,</w:t>
            </w:r>
            <w:r w:rsidR="006503D9" w:rsidRPr="001B785A">
              <w:rPr>
                <w:sz w:val="20"/>
                <w:szCs w:val="20"/>
                <w:lang w:val="uk-UA"/>
              </w:rPr>
              <w:t xml:space="preserve"> Лікар - педіатр кабінету «Комплексного </w:t>
            </w:r>
            <w:proofErr w:type="spellStart"/>
            <w:r w:rsidR="006503D9" w:rsidRPr="001B785A">
              <w:rPr>
                <w:sz w:val="20"/>
                <w:szCs w:val="20"/>
                <w:lang w:val="uk-UA"/>
              </w:rPr>
              <w:t>нейромоніторингу</w:t>
            </w:r>
            <w:proofErr w:type="spellEnd"/>
            <w:r w:rsidR="006503D9" w:rsidRPr="001B785A">
              <w:rPr>
                <w:sz w:val="20"/>
                <w:szCs w:val="20"/>
                <w:lang w:val="uk-UA"/>
              </w:rPr>
              <w:t xml:space="preserve"> з дитячою лабораторією сну» відділення </w:t>
            </w:r>
            <w:proofErr w:type="spellStart"/>
            <w:r w:rsidR="006503D9" w:rsidRPr="001B785A">
              <w:rPr>
                <w:sz w:val="20"/>
                <w:szCs w:val="20"/>
                <w:lang w:val="uk-UA"/>
              </w:rPr>
              <w:t>постінтенсивного</w:t>
            </w:r>
            <w:proofErr w:type="spellEnd"/>
            <w:r w:rsidR="006503D9" w:rsidRPr="001B785A">
              <w:rPr>
                <w:sz w:val="20"/>
                <w:szCs w:val="20"/>
                <w:lang w:val="uk-UA"/>
              </w:rPr>
              <w:t xml:space="preserve"> лікування та виходжування передчасно народжених дітей</w:t>
            </w:r>
            <w:r w:rsidR="00416ADE" w:rsidRPr="001B785A">
              <w:rPr>
                <w:sz w:val="20"/>
                <w:szCs w:val="20"/>
                <w:lang w:val="uk-UA"/>
              </w:rPr>
              <w:t xml:space="preserve"> </w:t>
            </w:r>
            <w:r w:rsidR="006503D9" w:rsidRPr="001B785A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16ADE" w:rsidRPr="001B785A">
              <w:rPr>
                <w:sz w:val="20"/>
                <w:szCs w:val="20"/>
                <w:lang w:val="uk-UA"/>
              </w:rPr>
              <w:t>Летичевська</w:t>
            </w:r>
            <w:proofErr w:type="spellEnd"/>
            <w:r w:rsidR="00416ADE" w:rsidRPr="001B785A">
              <w:rPr>
                <w:sz w:val="20"/>
                <w:szCs w:val="20"/>
                <w:lang w:val="uk-UA"/>
              </w:rPr>
              <w:t xml:space="preserve"> В. О., </w:t>
            </w:r>
            <w:r w:rsidR="0005749E" w:rsidRPr="001B785A">
              <w:rPr>
                <w:sz w:val="20"/>
                <w:szCs w:val="20"/>
                <w:lang w:val="uk-UA"/>
              </w:rPr>
              <w:t xml:space="preserve">Лікар невролог дитячий відділення дитячої нейрохірургії, кабінету «Комплексного </w:t>
            </w:r>
            <w:proofErr w:type="spellStart"/>
            <w:r w:rsidR="0005749E" w:rsidRPr="001B785A">
              <w:rPr>
                <w:sz w:val="20"/>
                <w:szCs w:val="20"/>
                <w:lang w:val="uk-UA"/>
              </w:rPr>
              <w:t>нейромоніторингу</w:t>
            </w:r>
            <w:proofErr w:type="spellEnd"/>
            <w:r w:rsidR="0005749E" w:rsidRPr="001B785A">
              <w:rPr>
                <w:sz w:val="20"/>
                <w:szCs w:val="20"/>
                <w:lang w:val="uk-UA"/>
              </w:rPr>
              <w:t xml:space="preserve"> з дитячою лабораторією сну» ДНП «НДСЛ Охматдит» МОЗ України </w:t>
            </w:r>
            <w:r w:rsidR="00416ADE" w:rsidRPr="001B785A">
              <w:rPr>
                <w:sz w:val="20"/>
                <w:szCs w:val="20"/>
                <w:lang w:val="uk-UA"/>
              </w:rPr>
              <w:t xml:space="preserve">Орлова Т. О., </w:t>
            </w:r>
            <w:r w:rsidR="00DF0D8E" w:rsidRPr="001B785A">
              <w:rPr>
                <w:sz w:val="20"/>
                <w:szCs w:val="20"/>
                <w:lang w:val="uk-UA"/>
              </w:rPr>
              <w:t xml:space="preserve">Завідувачка відділення </w:t>
            </w:r>
            <w:proofErr w:type="spellStart"/>
            <w:r w:rsidR="00DF0D8E" w:rsidRPr="001B785A">
              <w:rPr>
                <w:sz w:val="20"/>
                <w:szCs w:val="20"/>
                <w:lang w:val="uk-UA"/>
              </w:rPr>
              <w:t>постінтенсивного</w:t>
            </w:r>
            <w:proofErr w:type="spellEnd"/>
            <w:r w:rsidR="00DF0D8E" w:rsidRPr="001B785A">
              <w:rPr>
                <w:sz w:val="20"/>
                <w:szCs w:val="20"/>
                <w:lang w:val="uk-UA"/>
              </w:rPr>
              <w:t xml:space="preserve"> лікування та виходжування передчасно народжених дітей, Заслужений лікар України </w:t>
            </w:r>
            <w:proofErr w:type="spellStart"/>
            <w:r w:rsidR="00416ADE" w:rsidRPr="001B785A">
              <w:rPr>
                <w:sz w:val="20"/>
                <w:szCs w:val="20"/>
                <w:lang w:val="uk-UA"/>
              </w:rPr>
              <w:t>Погорецький</w:t>
            </w:r>
            <w:proofErr w:type="spellEnd"/>
            <w:r w:rsidR="00416ADE" w:rsidRPr="001B785A">
              <w:rPr>
                <w:sz w:val="20"/>
                <w:szCs w:val="20"/>
                <w:lang w:val="uk-UA"/>
              </w:rPr>
              <w:t xml:space="preserve"> Ю.Н.,</w:t>
            </w:r>
            <w:r w:rsidR="00742AD5" w:rsidRPr="001B785A">
              <w:rPr>
                <w:sz w:val="20"/>
                <w:szCs w:val="20"/>
                <w:lang w:val="uk-UA"/>
              </w:rPr>
              <w:t xml:space="preserve"> Головний лікар лабораторії сну, </w:t>
            </w:r>
            <w:proofErr w:type="spellStart"/>
            <w:r w:rsidR="00742AD5" w:rsidRPr="001B785A">
              <w:rPr>
                <w:sz w:val="20"/>
                <w:szCs w:val="20"/>
                <w:lang w:val="uk-UA"/>
              </w:rPr>
              <w:t>сомнолог</w:t>
            </w:r>
            <w:proofErr w:type="spellEnd"/>
            <w:r w:rsidR="00742AD5" w:rsidRPr="001B785A">
              <w:rPr>
                <w:sz w:val="20"/>
                <w:szCs w:val="20"/>
                <w:lang w:val="uk-UA"/>
              </w:rPr>
              <w:t>, кардіолог, к. мед. н., президент ВГО «Асоціація медицини сну»</w:t>
            </w:r>
            <w:r w:rsidR="00416ADE" w:rsidRPr="001B785A">
              <w:rPr>
                <w:sz w:val="20"/>
                <w:szCs w:val="20"/>
                <w:lang w:val="uk-UA"/>
              </w:rPr>
              <w:t xml:space="preserve"> Тарасюк О.В., </w:t>
            </w:r>
            <w:r w:rsidR="005C54DC" w:rsidRPr="001B785A">
              <w:rPr>
                <w:sz w:val="20"/>
                <w:szCs w:val="20"/>
                <w:lang w:val="uk-UA"/>
              </w:rPr>
              <w:t>Лікар функціональної діагностики, невролог, педіатр-</w:t>
            </w:r>
            <w:proofErr w:type="spellStart"/>
            <w:r w:rsidR="005C54DC" w:rsidRPr="001B785A">
              <w:rPr>
                <w:sz w:val="20"/>
                <w:szCs w:val="20"/>
                <w:lang w:val="uk-UA"/>
              </w:rPr>
              <w:t>неонатолог</w:t>
            </w:r>
            <w:proofErr w:type="spellEnd"/>
            <w:r w:rsidR="005C54DC" w:rsidRPr="001B785A">
              <w:rPr>
                <w:sz w:val="20"/>
                <w:szCs w:val="20"/>
                <w:lang w:val="uk-UA"/>
              </w:rPr>
              <w:t xml:space="preserve"> кабінету «Комплексного </w:t>
            </w:r>
            <w:proofErr w:type="spellStart"/>
            <w:r w:rsidR="005C54DC" w:rsidRPr="001B785A">
              <w:rPr>
                <w:sz w:val="20"/>
                <w:szCs w:val="20"/>
                <w:lang w:val="uk-UA"/>
              </w:rPr>
              <w:t>нейромоніторингу</w:t>
            </w:r>
            <w:proofErr w:type="spellEnd"/>
            <w:r w:rsidR="005C54DC" w:rsidRPr="001B785A">
              <w:rPr>
                <w:sz w:val="20"/>
                <w:szCs w:val="20"/>
                <w:lang w:val="uk-UA"/>
              </w:rPr>
              <w:t xml:space="preserve"> з дитячою лабораторією сну» відділення </w:t>
            </w:r>
            <w:proofErr w:type="spellStart"/>
            <w:r w:rsidR="005C54DC" w:rsidRPr="001B785A">
              <w:rPr>
                <w:sz w:val="20"/>
                <w:szCs w:val="20"/>
                <w:lang w:val="uk-UA"/>
              </w:rPr>
              <w:t>постінтенсивного</w:t>
            </w:r>
            <w:proofErr w:type="spellEnd"/>
            <w:r w:rsidR="005C54DC" w:rsidRPr="001B785A">
              <w:rPr>
                <w:sz w:val="20"/>
                <w:szCs w:val="20"/>
                <w:lang w:val="uk-UA"/>
              </w:rPr>
              <w:t xml:space="preserve"> лікування та виходжування передчасно народжених </w:t>
            </w:r>
            <w:proofErr w:type="spellStart"/>
            <w:r w:rsidR="005C54DC" w:rsidRPr="001B785A">
              <w:rPr>
                <w:sz w:val="20"/>
                <w:szCs w:val="20"/>
                <w:lang w:val="uk-UA"/>
              </w:rPr>
              <w:t>дітей</w:t>
            </w:r>
            <w:r w:rsidR="00416ADE" w:rsidRPr="001B785A">
              <w:rPr>
                <w:sz w:val="20"/>
                <w:szCs w:val="20"/>
                <w:lang w:val="uk-UA"/>
              </w:rPr>
              <w:t>Тичківська</w:t>
            </w:r>
            <w:proofErr w:type="spellEnd"/>
            <w:r w:rsidR="00416ADE" w:rsidRPr="001B785A">
              <w:rPr>
                <w:sz w:val="20"/>
                <w:szCs w:val="20"/>
                <w:lang w:val="uk-UA"/>
              </w:rPr>
              <w:t xml:space="preserve"> О.М., Шевченко Р.Г.</w:t>
            </w:r>
            <w:r w:rsidR="001B785A" w:rsidRPr="001B785A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676200">
              <w:rPr>
                <w:sz w:val="20"/>
                <w:szCs w:val="20"/>
                <w:lang w:val="uk-UA"/>
              </w:rPr>
              <w:t>з</w:t>
            </w:r>
            <w:r w:rsidR="001B785A" w:rsidRPr="001B785A">
              <w:rPr>
                <w:sz w:val="20"/>
                <w:szCs w:val="20"/>
                <w:lang w:val="uk-UA"/>
              </w:rPr>
              <w:t>відувач</w:t>
            </w:r>
            <w:proofErr w:type="spellEnd"/>
            <w:r w:rsidR="001B785A" w:rsidRPr="001B785A">
              <w:rPr>
                <w:sz w:val="20"/>
                <w:szCs w:val="20"/>
                <w:lang w:val="uk-UA"/>
              </w:rPr>
              <w:t xml:space="preserve"> кабінету «Комплексного </w:t>
            </w:r>
            <w:proofErr w:type="spellStart"/>
            <w:r w:rsidR="001B785A" w:rsidRPr="001B785A">
              <w:rPr>
                <w:sz w:val="20"/>
                <w:szCs w:val="20"/>
                <w:lang w:val="uk-UA"/>
              </w:rPr>
              <w:t>нейромоніторингу</w:t>
            </w:r>
            <w:proofErr w:type="spellEnd"/>
            <w:r w:rsidR="001B785A" w:rsidRPr="001B785A">
              <w:rPr>
                <w:sz w:val="20"/>
                <w:szCs w:val="20"/>
                <w:lang w:val="uk-UA"/>
              </w:rPr>
              <w:t xml:space="preserve"> з дитячою лабораторією сну» ДНП «НДСЛ «Охматдит» МОЗ України», лікар-анестезіолог дитячий</w:t>
            </w:r>
          </w:p>
        </w:tc>
      </w:tr>
      <w:tr w:rsidR="00D5152A" w:rsidRPr="002718C0" w14:paraId="3DEA48AE" w14:textId="77777777" w:rsidTr="000A28D4">
        <w:trPr>
          <w:trHeight w:val="523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22F7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e"/>
              <w:tblW w:w="8111" w:type="dxa"/>
              <w:tblInd w:w="0" w:type="dxa"/>
              <w:tblLook w:val="04A0" w:firstRow="1" w:lastRow="0" w:firstColumn="1" w:lastColumn="0" w:noHBand="0" w:noVBand="1"/>
            </w:tblPr>
            <w:tblGrid>
              <w:gridCol w:w="598"/>
              <w:gridCol w:w="992"/>
              <w:gridCol w:w="2552"/>
              <w:gridCol w:w="3969"/>
            </w:tblGrid>
            <w:tr w:rsidR="00CB191A" w:rsidRPr="00CB191A" w14:paraId="3E778CAF" w14:textId="77777777" w:rsidTr="000A28D4">
              <w:tc>
                <w:tcPr>
                  <w:tcW w:w="598" w:type="dxa"/>
                </w:tcPr>
                <w:p w14:paraId="2DFD7731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№ з/п</w:t>
                  </w:r>
                </w:p>
              </w:tc>
              <w:tc>
                <w:tcPr>
                  <w:tcW w:w="992" w:type="dxa"/>
                </w:tcPr>
                <w:p w14:paraId="6FD26764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час</w:t>
                  </w:r>
                </w:p>
              </w:tc>
              <w:tc>
                <w:tcPr>
                  <w:tcW w:w="2552" w:type="dxa"/>
                </w:tcPr>
                <w:p w14:paraId="75D56A4D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назва</w:t>
                  </w:r>
                </w:p>
              </w:tc>
              <w:tc>
                <w:tcPr>
                  <w:tcW w:w="3969" w:type="dxa"/>
                </w:tcPr>
                <w:p w14:paraId="175BF94C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доповідач</w:t>
                  </w:r>
                </w:p>
              </w:tc>
            </w:tr>
            <w:tr w:rsidR="00CB191A" w:rsidRPr="002718C0" w14:paraId="0F6597A2" w14:textId="77777777" w:rsidTr="000A28D4">
              <w:tc>
                <w:tcPr>
                  <w:tcW w:w="598" w:type="dxa"/>
                </w:tcPr>
                <w:p w14:paraId="0B5CF8A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8BB1747" w14:textId="77777777" w:rsidR="00CB191A" w:rsidRPr="00CB191A" w:rsidRDefault="00CB191A" w:rsidP="00CB191A">
                  <w:pPr>
                    <w:jc w:val="both"/>
                    <w:rPr>
                      <w:iCs/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09:30-09:50</w:t>
                  </w:r>
                </w:p>
              </w:tc>
              <w:tc>
                <w:tcPr>
                  <w:tcW w:w="2552" w:type="dxa"/>
                </w:tcPr>
                <w:p w14:paraId="0C78A9A8" w14:textId="77777777" w:rsidR="00CB191A" w:rsidRPr="00CB191A" w:rsidRDefault="00CB191A" w:rsidP="00CB191A">
                  <w:pPr>
                    <w:jc w:val="both"/>
                    <w:rPr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Вступне слово </w:t>
                  </w:r>
                </w:p>
                <w:p w14:paraId="0C11419D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969" w:type="dxa"/>
                </w:tcPr>
                <w:p w14:paraId="0D0EE4A0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Урін Олександр Олександрович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(</w:t>
                  </w:r>
                  <w:r w:rsidRPr="00CB191A">
                    <w:rPr>
                      <w:bCs/>
                      <w:iCs/>
                      <w:sz w:val="20"/>
                      <w:szCs w:val="20"/>
                      <w:lang w:val="uk-UA"/>
                    </w:rPr>
                    <w:t>В.о. генерального директора ДНП «НДСЛ «Охматдит»» МОЗ України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), </w:t>
                  </w: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Іванова Тетяна Павлівна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(медичний  директор з педіатрії,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к.мед.н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>., заслужений лікар України)</w:t>
                  </w:r>
                </w:p>
              </w:tc>
            </w:tr>
            <w:tr w:rsidR="00CB191A" w:rsidRPr="002718C0" w14:paraId="7F9EDF11" w14:textId="77777777" w:rsidTr="000A28D4">
              <w:trPr>
                <w:trHeight w:val="1186"/>
              </w:trPr>
              <w:tc>
                <w:tcPr>
                  <w:tcW w:w="598" w:type="dxa"/>
                </w:tcPr>
                <w:p w14:paraId="4776DC98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35F99CA5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09:50-10:10</w:t>
                  </w:r>
                </w:p>
              </w:tc>
              <w:tc>
                <w:tcPr>
                  <w:tcW w:w="2552" w:type="dxa"/>
                </w:tcPr>
                <w:p w14:paraId="43FB2F39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Привітання до всесвітнього дня сну. Розвиток дитячої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сомнології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в Україні </w:t>
                  </w:r>
                </w:p>
              </w:tc>
              <w:tc>
                <w:tcPr>
                  <w:tcW w:w="3969" w:type="dxa"/>
                </w:tcPr>
                <w:p w14:paraId="164F69E9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Погорецький</w:t>
                  </w:r>
                  <w:proofErr w:type="spellEnd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 Юрій Несторович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Головний лікар лабораторії сну,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сомнолог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кардіолог,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к.мед.н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., президент ВГО «Асоціація медицини сну» </w:t>
                  </w:r>
                </w:p>
              </w:tc>
            </w:tr>
            <w:tr w:rsidR="00CB191A" w:rsidRPr="002718C0" w14:paraId="18FF2916" w14:textId="77777777" w:rsidTr="000A28D4">
              <w:trPr>
                <w:trHeight w:val="1124"/>
              </w:trPr>
              <w:tc>
                <w:tcPr>
                  <w:tcW w:w="598" w:type="dxa"/>
                </w:tcPr>
                <w:p w14:paraId="0CE07DB3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1B42EC8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10:10-10:30</w:t>
                  </w:r>
                </w:p>
              </w:tc>
              <w:tc>
                <w:tcPr>
                  <w:tcW w:w="2552" w:type="dxa"/>
                </w:tcPr>
                <w:p w14:paraId="7177FEB5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Нейрофізіологічні аспекти незрілості мозку</w:t>
                  </w:r>
                </w:p>
              </w:tc>
              <w:tc>
                <w:tcPr>
                  <w:tcW w:w="3969" w:type="dxa"/>
                </w:tcPr>
                <w:p w14:paraId="23734A89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Токарєв Антон, </w:t>
                  </w:r>
                  <w:r w:rsidRPr="00CB191A">
                    <w:rPr>
                      <w:bCs/>
                      <w:sz w:val="20"/>
                      <w:szCs w:val="20"/>
                      <w:lang w:val="uk-UA"/>
                    </w:rPr>
                    <w:t>д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октор Медицини університету Гельсінкі за напрямом «Неврологія», старший дослідник в Центрі вивчення активності дитячого мозку, м.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Гельсінки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Фінляндія </w:t>
                  </w:r>
                </w:p>
              </w:tc>
            </w:tr>
            <w:tr w:rsidR="00CB191A" w:rsidRPr="002718C0" w14:paraId="69F95749" w14:textId="77777777" w:rsidTr="000A28D4">
              <w:trPr>
                <w:trHeight w:val="1064"/>
              </w:trPr>
              <w:tc>
                <w:tcPr>
                  <w:tcW w:w="598" w:type="dxa"/>
                </w:tcPr>
                <w:p w14:paraId="0FD7F721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6B306110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10:30-10:50</w:t>
                  </w:r>
                </w:p>
              </w:tc>
              <w:tc>
                <w:tcPr>
                  <w:tcW w:w="2552" w:type="dxa"/>
                </w:tcPr>
                <w:p w14:paraId="3A0885DE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Синдром Сміта-</w:t>
                  </w:r>
                  <w:proofErr w:type="spellStart"/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Магеніса</w:t>
                  </w:r>
                  <w:proofErr w:type="spellEnd"/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та порушення сну в клініці </w:t>
                  </w:r>
                  <w:proofErr w:type="spellStart"/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нейропедіатрії</w:t>
                  </w:r>
                  <w:proofErr w:type="spellEnd"/>
                </w:p>
              </w:tc>
              <w:tc>
                <w:tcPr>
                  <w:tcW w:w="3969" w:type="dxa"/>
                </w:tcPr>
                <w:p w14:paraId="74047494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Шевченко Олександр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лікар-нейрофізіолог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Centre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for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Paediatrics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and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Adolescent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Medicine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Inn-Salzach-Rott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Altoetting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(Німеччина)</w:t>
                  </w:r>
                </w:p>
              </w:tc>
            </w:tr>
            <w:tr w:rsidR="00CB191A" w:rsidRPr="002718C0" w14:paraId="618D34B1" w14:textId="77777777" w:rsidTr="000A28D4">
              <w:trPr>
                <w:trHeight w:val="1237"/>
              </w:trPr>
              <w:tc>
                <w:tcPr>
                  <w:tcW w:w="598" w:type="dxa"/>
                </w:tcPr>
                <w:p w14:paraId="1D967FBC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31AF1E9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10:50-11:10</w:t>
                  </w:r>
                </w:p>
              </w:tc>
              <w:tc>
                <w:tcPr>
                  <w:tcW w:w="2552" w:type="dxa"/>
                </w:tcPr>
                <w:p w14:paraId="2634A7A0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Організація системи довготривалої респіраторної підтримки у Швеції</w:t>
                  </w:r>
                </w:p>
              </w:tc>
              <w:tc>
                <w:tcPr>
                  <w:tcW w:w="3969" w:type="dxa"/>
                </w:tcPr>
                <w:p w14:paraId="4D0F5DC5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Емма </w:t>
                  </w:r>
                  <w:proofErr w:type="spellStart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Каффрі</w:t>
                  </w:r>
                  <w:proofErr w:type="spellEnd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-Освальд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(</w:t>
                  </w:r>
                  <w:r w:rsidRPr="00CB191A">
                    <w:rPr>
                      <w:sz w:val="20"/>
                      <w:szCs w:val="20"/>
                    </w:rPr>
                    <w:t>PhD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лікар-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пульмонолог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дитячий респіраторного центру дитячої лікарні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Астрід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Ліндгрен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(Каролінська університетська лікарня), Стокгольм, Швеція </w:t>
                  </w:r>
                </w:p>
              </w:tc>
            </w:tr>
            <w:tr w:rsidR="00CB191A" w:rsidRPr="002718C0" w14:paraId="18A44607" w14:textId="77777777" w:rsidTr="000A28D4">
              <w:tc>
                <w:tcPr>
                  <w:tcW w:w="598" w:type="dxa"/>
                </w:tcPr>
                <w:p w14:paraId="012B5A3F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14:paraId="7731E499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11:10-11:30</w:t>
                  </w:r>
                </w:p>
              </w:tc>
              <w:tc>
                <w:tcPr>
                  <w:tcW w:w="2552" w:type="dxa"/>
                </w:tcPr>
                <w:p w14:paraId="501BA6E3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Дитяча лабораторія сну у Львові</w:t>
                  </w:r>
                </w:p>
              </w:tc>
              <w:tc>
                <w:tcPr>
                  <w:tcW w:w="3969" w:type="dxa"/>
                </w:tcPr>
                <w:p w14:paraId="4FDE27A8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Тичківська</w:t>
                  </w:r>
                  <w:proofErr w:type="spellEnd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 Ольга Мирославівна, </w:t>
                  </w:r>
                  <w:r w:rsidRPr="00CB191A">
                    <w:rPr>
                      <w:bCs/>
                      <w:sz w:val="20"/>
                      <w:szCs w:val="20"/>
                      <w:lang w:val="uk-UA"/>
                    </w:rPr>
                    <w:t>л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ікар- невролог дитячий, завідувачка центру нейрофізіології Лікарні святого Миколая ТМО №1 м. Львова; асистент кафедри педіатрії та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неонатології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ФПДО Львівського національного медичного університету імені Данила Галицького)</w:t>
                  </w:r>
                </w:p>
              </w:tc>
            </w:tr>
            <w:tr w:rsidR="00CB191A" w:rsidRPr="00CB191A" w14:paraId="57EF9C8D" w14:textId="77777777" w:rsidTr="000A28D4">
              <w:trPr>
                <w:trHeight w:val="236"/>
              </w:trPr>
              <w:tc>
                <w:tcPr>
                  <w:tcW w:w="8111" w:type="dxa"/>
                  <w:gridSpan w:val="4"/>
                </w:tcPr>
                <w:p w14:paraId="711F46E4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Cs/>
                      <w:iCs/>
                      <w:sz w:val="20"/>
                      <w:szCs w:val="20"/>
                      <w:lang w:val="uk-UA"/>
                    </w:rPr>
                    <w:t>11:30-12:00 - Обідня перерва</w:t>
                  </w:r>
                </w:p>
              </w:tc>
            </w:tr>
            <w:tr w:rsidR="00CB191A" w:rsidRPr="002718C0" w14:paraId="7953472C" w14:textId="77777777" w:rsidTr="000A28D4">
              <w:tc>
                <w:tcPr>
                  <w:tcW w:w="598" w:type="dxa"/>
                </w:tcPr>
                <w:p w14:paraId="1E55B3A7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58D9CCC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12:00-12:20</w:t>
                  </w:r>
                </w:p>
              </w:tc>
              <w:tc>
                <w:tcPr>
                  <w:tcW w:w="2552" w:type="dxa"/>
                </w:tcPr>
                <w:p w14:paraId="36910612" w14:textId="77777777" w:rsidR="00CB191A" w:rsidRPr="00CB191A" w:rsidRDefault="00CB191A" w:rsidP="00CB191A">
                  <w:pPr>
                    <w:jc w:val="both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Діти і гаджети: як цифрові пристрої впливають на якість сну </w:t>
                  </w:r>
                </w:p>
                <w:p w14:paraId="74A2A0F9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969" w:type="dxa"/>
                </w:tcPr>
                <w:p w14:paraId="1E0678C1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Котляр Оксана Олександрівна, л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ікар функціональної діагностики кабінету «Комплексного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нейромоніторингу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з дитячою лабораторією сну» Відділення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постінтенсивного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лікування та виходжування передчасно народжених дітей </w:t>
                  </w:r>
                </w:p>
              </w:tc>
            </w:tr>
            <w:tr w:rsidR="00CB191A" w:rsidRPr="002718C0" w14:paraId="65AEF4DB" w14:textId="77777777" w:rsidTr="000A28D4">
              <w:tc>
                <w:tcPr>
                  <w:tcW w:w="598" w:type="dxa"/>
                </w:tcPr>
                <w:p w14:paraId="0ADE52A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14:paraId="0E14B6D8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12:20-12:35</w:t>
                  </w:r>
                </w:p>
              </w:tc>
              <w:tc>
                <w:tcPr>
                  <w:tcW w:w="2552" w:type="dxa"/>
                </w:tcPr>
                <w:p w14:paraId="4BB73377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Центральний </w:t>
                  </w:r>
                  <w:proofErr w:type="spellStart"/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гіповентиляційний</w:t>
                  </w:r>
                  <w:proofErr w:type="spellEnd"/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синдром </w:t>
                  </w:r>
                </w:p>
                <w:p w14:paraId="4E3E428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969" w:type="dxa"/>
                </w:tcPr>
                <w:p w14:paraId="458A4CBE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Летичевська</w:t>
                  </w:r>
                  <w:proofErr w:type="spellEnd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 Вероніка Олександрівна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лікар-невролог дитячий кабінету «Комплексного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нейромоніторингу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з дитячою лабораторією сну» Відділення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постінтенсивного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лікування та виходжування передчасно народжених дітей </w:t>
                  </w:r>
                </w:p>
              </w:tc>
            </w:tr>
            <w:tr w:rsidR="00CB191A" w:rsidRPr="002718C0" w14:paraId="0EE44C1F" w14:textId="77777777" w:rsidTr="000A28D4">
              <w:trPr>
                <w:trHeight w:val="1159"/>
              </w:trPr>
              <w:tc>
                <w:tcPr>
                  <w:tcW w:w="598" w:type="dxa"/>
                </w:tcPr>
                <w:p w14:paraId="03F45B9D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14:paraId="506B58A5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12:35-12:50</w:t>
                  </w:r>
                </w:p>
              </w:tc>
              <w:tc>
                <w:tcPr>
                  <w:tcW w:w="2552" w:type="dxa"/>
                </w:tcPr>
                <w:p w14:paraId="41349E23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Клінічний випадок центрального </w:t>
                  </w:r>
                  <w:proofErr w:type="spellStart"/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гіповентиляційного</w:t>
                  </w:r>
                  <w:proofErr w:type="spellEnd"/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синдрому</w:t>
                  </w:r>
                </w:p>
              </w:tc>
              <w:tc>
                <w:tcPr>
                  <w:tcW w:w="3969" w:type="dxa"/>
                </w:tcPr>
                <w:p w14:paraId="1AA389A5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Ніконова Лариса Василівна, з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авідувачка відділенням інтенсивної терапії новонароджених, лікар-анестезіолог дитячий вищої категорії </w:t>
                  </w:r>
                </w:p>
              </w:tc>
            </w:tr>
            <w:tr w:rsidR="00CB191A" w:rsidRPr="002718C0" w14:paraId="55BDC390" w14:textId="77777777" w:rsidTr="000A28D4">
              <w:tc>
                <w:tcPr>
                  <w:tcW w:w="598" w:type="dxa"/>
                </w:tcPr>
                <w:p w14:paraId="6748F82F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14:paraId="75660261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12:50-13:10</w:t>
                  </w:r>
                </w:p>
              </w:tc>
              <w:tc>
                <w:tcPr>
                  <w:tcW w:w="2552" w:type="dxa"/>
                </w:tcPr>
                <w:p w14:paraId="6576453D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ЕЕГ під час сну: маркери епілепсії</w:t>
                  </w:r>
                </w:p>
                <w:p w14:paraId="054B14B3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969" w:type="dxa"/>
                </w:tcPr>
                <w:p w14:paraId="2C65BAD8" w14:textId="26A4A748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Федушка</w:t>
                  </w:r>
                  <w:proofErr w:type="spellEnd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 Галина Михайлівна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>,</w:t>
                  </w:r>
                  <w:r w:rsidR="00177D99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к.мед.н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</w:t>
                  </w:r>
                  <w:r w:rsidRPr="00CB191A">
                    <w:rPr>
                      <w:sz w:val="20"/>
                      <w:szCs w:val="20"/>
                    </w:rPr>
                    <w:t>PhD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>, лікар-невролог дитячий  відділення дитячої неврології, клінічної нейрофізіології та розладів психіки</w:t>
                  </w:r>
                </w:p>
              </w:tc>
            </w:tr>
            <w:tr w:rsidR="00CB191A" w:rsidRPr="002718C0" w14:paraId="29AA0853" w14:textId="77777777" w:rsidTr="000A28D4">
              <w:tc>
                <w:tcPr>
                  <w:tcW w:w="598" w:type="dxa"/>
                </w:tcPr>
                <w:p w14:paraId="6C04560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11 </w:t>
                  </w:r>
                </w:p>
              </w:tc>
              <w:tc>
                <w:tcPr>
                  <w:tcW w:w="992" w:type="dxa"/>
                </w:tcPr>
                <w:p w14:paraId="7D647DBD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13:10-13:30</w:t>
                  </w:r>
                </w:p>
              </w:tc>
              <w:tc>
                <w:tcPr>
                  <w:tcW w:w="2552" w:type="dxa"/>
                </w:tcPr>
                <w:p w14:paraId="1338B4F9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Нейрофізіологічні механізми формування сну та сновидінь</w:t>
                  </w:r>
                </w:p>
              </w:tc>
              <w:tc>
                <w:tcPr>
                  <w:tcW w:w="3969" w:type="dxa"/>
                </w:tcPr>
                <w:p w14:paraId="01836AEF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Головатюк</w:t>
                  </w:r>
                  <w:proofErr w:type="spellEnd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 Ірина Володимирівна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лікар - невролог дитячий, лікар функціональної діагностики відділення нейрохірургії </w:t>
                  </w:r>
                </w:p>
              </w:tc>
            </w:tr>
            <w:tr w:rsidR="00CB191A" w:rsidRPr="00CB191A" w14:paraId="3AD4C52E" w14:textId="77777777" w:rsidTr="000A28D4">
              <w:tc>
                <w:tcPr>
                  <w:tcW w:w="598" w:type="dxa"/>
                </w:tcPr>
                <w:p w14:paraId="7B0E2627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14:paraId="68DA8EE1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13:30-13:50</w:t>
                  </w:r>
                </w:p>
              </w:tc>
              <w:tc>
                <w:tcPr>
                  <w:tcW w:w="2552" w:type="dxa"/>
                </w:tcPr>
                <w:p w14:paraId="23A834C4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Сон та розвиток дитини</w:t>
                  </w:r>
                </w:p>
                <w:p w14:paraId="06FD13AE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969" w:type="dxa"/>
                </w:tcPr>
                <w:p w14:paraId="35E8B0D6" w14:textId="1FE81CC6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Шунько</w:t>
                  </w:r>
                  <w:proofErr w:type="spellEnd"/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 xml:space="preserve"> Єлизавета Євгенівна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д.мед.н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., професор, член-кореспондент НАМН 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lastRenderedPageBreak/>
                    <w:t xml:space="preserve">України, заслужений діяч науки і техніки України,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зав.кафедри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«Педіатрії,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неонатології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дитячих інфекційних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хвороб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імунології та алергології» НУОЗ України ім. П.Л. Шупика,  </w:t>
                  </w: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Бєлова Олена Олександрівна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к.мед.н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асистент кафедри «Педіатрії,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неонатології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дитячих інфекційних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хвороб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>, імунології та алергології» НУОЗ України ім. П.Л. Шупика  –</w:t>
                  </w:r>
                </w:p>
              </w:tc>
            </w:tr>
            <w:tr w:rsidR="00CB191A" w:rsidRPr="002718C0" w14:paraId="2A8284EC" w14:textId="77777777" w:rsidTr="000A28D4">
              <w:trPr>
                <w:trHeight w:val="1421"/>
              </w:trPr>
              <w:tc>
                <w:tcPr>
                  <w:tcW w:w="598" w:type="dxa"/>
                </w:tcPr>
                <w:p w14:paraId="0F9D3B79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</w:tcPr>
                <w:p w14:paraId="1DFF488E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13:50-14:00</w:t>
                  </w:r>
                </w:p>
              </w:tc>
              <w:tc>
                <w:tcPr>
                  <w:tcW w:w="2552" w:type="dxa"/>
                </w:tcPr>
                <w:p w14:paraId="658F40E2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Історія розвитку дитячої лабораторії сну в ДНП «НДСЛ «Охматдит» МОЗ України»</w:t>
                  </w:r>
                </w:p>
              </w:tc>
              <w:tc>
                <w:tcPr>
                  <w:tcW w:w="3969" w:type="dxa"/>
                </w:tcPr>
                <w:p w14:paraId="43B8FB03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Орлова Тетяна Олександрівна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завідувачка відділення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постінтенсивного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лікування та виходжування передчасно народжених дітей, заслужений лікар України </w:t>
                  </w:r>
                </w:p>
              </w:tc>
            </w:tr>
            <w:tr w:rsidR="00CB191A" w:rsidRPr="002718C0" w14:paraId="13253F02" w14:textId="77777777" w:rsidTr="000A28D4">
              <w:tc>
                <w:tcPr>
                  <w:tcW w:w="598" w:type="dxa"/>
                </w:tcPr>
                <w:p w14:paraId="6C321B9C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sz w:val="20"/>
                      <w:szCs w:val="20"/>
                      <w:lang w:val="uk-UA"/>
                    </w:rPr>
                    <w:t>14</w:t>
                  </w:r>
                </w:p>
              </w:tc>
              <w:tc>
                <w:tcPr>
                  <w:tcW w:w="992" w:type="dxa"/>
                </w:tcPr>
                <w:p w14:paraId="595A339F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iCs/>
                      <w:sz w:val="20"/>
                      <w:szCs w:val="20"/>
                      <w:lang w:val="uk-UA"/>
                    </w:rPr>
                    <w:t>14:00-14:15</w:t>
                  </w:r>
                </w:p>
              </w:tc>
              <w:tc>
                <w:tcPr>
                  <w:tcW w:w="2552" w:type="dxa"/>
                </w:tcPr>
                <w:p w14:paraId="747B2FA7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bCs/>
                      <w:sz w:val="20"/>
                      <w:szCs w:val="20"/>
                      <w:lang w:val="uk-UA"/>
                    </w:rPr>
                    <w:t>Робота дитячої лабораторії сну та її вектор розвитку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br/>
                  </w:r>
                </w:p>
              </w:tc>
              <w:tc>
                <w:tcPr>
                  <w:tcW w:w="3969" w:type="dxa"/>
                </w:tcPr>
                <w:p w14:paraId="34E01227" w14:textId="77777777" w:rsidR="00CB191A" w:rsidRPr="00CB191A" w:rsidRDefault="00CB191A" w:rsidP="00CB191A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B191A">
                    <w:rPr>
                      <w:b/>
                      <w:sz w:val="20"/>
                      <w:szCs w:val="20"/>
                      <w:lang w:val="uk-UA"/>
                    </w:rPr>
                    <w:t>Шевченко Роман Геннадійович</w:t>
                  </w:r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, завідувач кабінету «Комплексного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нейромоніторингу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з дитячою лабораторією сну» Відділення </w:t>
                  </w:r>
                  <w:proofErr w:type="spellStart"/>
                  <w:r w:rsidRPr="00CB191A">
                    <w:rPr>
                      <w:sz w:val="20"/>
                      <w:szCs w:val="20"/>
                      <w:lang w:val="uk-UA"/>
                    </w:rPr>
                    <w:t>постінтенсивного</w:t>
                  </w:r>
                  <w:proofErr w:type="spellEnd"/>
                  <w:r w:rsidRPr="00CB191A">
                    <w:rPr>
                      <w:sz w:val="20"/>
                      <w:szCs w:val="20"/>
                      <w:lang w:val="uk-UA"/>
                    </w:rPr>
                    <w:t xml:space="preserve"> лікування та виходжування передчасно народжених дітей </w:t>
                  </w:r>
                </w:p>
              </w:tc>
            </w:tr>
            <w:tr w:rsidR="002F6F76" w:rsidRPr="002718C0" w14:paraId="0324BFE3" w14:textId="77777777" w:rsidTr="00E26CAA">
              <w:tc>
                <w:tcPr>
                  <w:tcW w:w="8111" w:type="dxa"/>
                  <w:gridSpan w:val="4"/>
                </w:tcPr>
                <w:p w14:paraId="64ED6ABD" w14:textId="79054D0D" w:rsidR="002F6F76" w:rsidRPr="002F6F76" w:rsidRDefault="002F6F76" w:rsidP="00CB191A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2F6F76">
                    <w:rPr>
                      <w:bCs/>
                      <w:sz w:val="20"/>
                      <w:szCs w:val="20"/>
                      <w:lang w:val="uk-UA"/>
                    </w:rPr>
                    <w:t>Підсумкове тестування</w:t>
                  </w:r>
                </w:p>
              </w:tc>
            </w:tr>
          </w:tbl>
          <w:p w14:paraId="551FBEDF" w14:textId="77777777" w:rsidR="00D5152A" w:rsidRDefault="00D5152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5152A" w14:paraId="68C0BAF9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029E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17. </w:t>
            </w:r>
            <w:r>
              <w:rPr>
                <w:sz w:val="20"/>
                <w:szCs w:val="20"/>
                <w:lang w:val="uk-UA"/>
              </w:rPr>
              <w:t>Опис вимог рівня знань, володіння темою, навичок, досвіду учасників до моменту реєстрації на даний захід</w:t>
            </w:r>
            <w:r>
              <w:rPr>
                <w:sz w:val="18"/>
                <w:szCs w:val="18"/>
                <w:lang w:val="uk-UA"/>
              </w:rPr>
              <w:t xml:space="preserve"> (за потреби)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536" w14:textId="77777777" w:rsidR="00D5152A" w:rsidRDefault="00D5152A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2043EBFB" w14:textId="77777777" w:rsidR="00D5152A" w:rsidRDefault="00D5152A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D5152A" w:rsidRPr="002718C0" w14:paraId="36CFBF64" w14:textId="77777777" w:rsidTr="007C214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48A" w14:textId="77777777" w:rsidR="00D5152A" w:rsidRDefault="00D5152A">
            <w:pPr>
              <w:pStyle w:val="a7"/>
              <w:widowControl/>
              <w:autoSpaceDE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18. </w:t>
            </w:r>
            <w:r>
              <w:rPr>
                <w:sz w:val="20"/>
                <w:szCs w:val="20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30E" w14:textId="77777777" w:rsidR="00D5152A" w:rsidRDefault="00D5152A">
            <w:pPr>
              <w:ind w:left="360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117B0086" w14:textId="77777777" w:rsidR="00D5152A" w:rsidRDefault="00D5152A">
            <w:pPr>
              <w:ind w:left="36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AEE2755" w14:textId="77777777" w:rsidR="00D5152A" w:rsidRDefault="00D5152A" w:rsidP="00D5152A">
      <w:pPr>
        <w:rPr>
          <w:lang w:val="ru-RU"/>
        </w:rPr>
      </w:pPr>
    </w:p>
    <w:p w14:paraId="7D67D712" w14:textId="77777777" w:rsidR="00D5152A" w:rsidRDefault="00D5152A" w:rsidP="00D5152A">
      <w:pPr>
        <w:rPr>
          <w:lang w:val="ru-RU"/>
        </w:rPr>
      </w:pPr>
    </w:p>
    <w:p w14:paraId="13B2BCA9" w14:textId="77777777" w:rsidR="00D5152A" w:rsidRDefault="00D5152A" w:rsidP="00D5152A">
      <w:pPr>
        <w:rPr>
          <w:lang w:val="ru-RU"/>
        </w:rPr>
      </w:pPr>
    </w:p>
    <w:p w14:paraId="4AFC6142" w14:textId="77777777" w:rsidR="00D5152A" w:rsidRDefault="00D5152A" w:rsidP="00D5152A">
      <w:pPr>
        <w:rPr>
          <w:lang w:val="ru-RU"/>
        </w:rPr>
      </w:pPr>
    </w:p>
    <w:p w14:paraId="4F2BEDDA" w14:textId="77777777" w:rsidR="00D5152A" w:rsidRDefault="00D5152A" w:rsidP="00D5152A">
      <w:pPr>
        <w:rPr>
          <w:lang w:val="ru-RU"/>
        </w:rPr>
      </w:pPr>
    </w:p>
    <w:p w14:paraId="6350ABF8" w14:textId="77777777" w:rsidR="00D5152A" w:rsidRDefault="00D5152A" w:rsidP="00D5152A">
      <w:pPr>
        <w:rPr>
          <w:lang w:val="ru-RU"/>
        </w:rPr>
      </w:pPr>
    </w:p>
    <w:p w14:paraId="7AC79619" w14:textId="77777777" w:rsidR="008176EE" w:rsidRPr="00D5152A" w:rsidRDefault="008176EE">
      <w:pPr>
        <w:rPr>
          <w:lang w:val="ru-RU"/>
        </w:rPr>
      </w:pPr>
    </w:p>
    <w:sectPr w:rsidR="008176EE" w:rsidRPr="00D515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3E12"/>
    <w:multiLevelType w:val="hybridMultilevel"/>
    <w:tmpl w:val="38DA5150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83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EE"/>
    <w:rsid w:val="0005749E"/>
    <w:rsid w:val="000A28D4"/>
    <w:rsid w:val="000C0F93"/>
    <w:rsid w:val="00131F3E"/>
    <w:rsid w:val="0013417A"/>
    <w:rsid w:val="001362FF"/>
    <w:rsid w:val="00177D99"/>
    <w:rsid w:val="00192828"/>
    <w:rsid w:val="001B785A"/>
    <w:rsid w:val="00234D10"/>
    <w:rsid w:val="00251B7C"/>
    <w:rsid w:val="002718C0"/>
    <w:rsid w:val="002D55CF"/>
    <w:rsid w:val="002F6F76"/>
    <w:rsid w:val="0030541E"/>
    <w:rsid w:val="00370DB8"/>
    <w:rsid w:val="0038156C"/>
    <w:rsid w:val="0039181A"/>
    <w:rsid w:val="00391BA7"/>
    <w:rsid w:val="00416ADE"/>
    <w:rsid w:val="0049560C"/>
    <w:rsid w:val="004C2F57"/>
    <w:rsid w:val="005817E4"/>
    <w:rsid w:val="005A194C"/>
    <w:rsid w:val="005C54DC"/>
    <w:rsid w:val="005D36E2"/>
    <w:rsid w:val="006503D9"/>
    <w:rsid w:val="0065305C"/>
    <w:rsid w:val="00676200"/>
    <w:rsid w:val="006C25F2"/>
    <w:rsid w:val="00742AD5"/>
    <w:rsid w:val="00750F27"/>
    <w:rsid w:val="007967D2"/>
    <w:rsid w:val="007C2140"/>
    <w:rsid w:val="007E10D2"/>
    <w:rsid w:val="007E3100"/>
    <w:rsid w:val="008176EE"/>
    <w:rsid w:val="008B58F6"/>
    <w:rsid w:val="009609F0"/>
    <w:rsid w:val="009809E1"/>
    <w:rsid w:val="00A05359"/>
    <w:rsid w:val="00AF5DB2"/>
    <w:rsid w:val="00B17973"/>
    <w:rsid w:val="00BD10F4"/>
    <w:rsid w:val="00C02744"/>
    <w:rsid w:val="00CB191A"/>
    <w:rsid w:val="00D5152A"/>
    <w:rsid w:val="00DF0D8E"/>
    <w:rsid w:val="00E20F36"/>
    <w:rsid w:val="00F03AFE"/>
    <w:rsid w:val="00F13607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B789"/>
  <w15:chartTrackingRefBased/>
  <w15:docId w15:val="{DBF45EE6-C6A8-41A8-BC32-C1DC278D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7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6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6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6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6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6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6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6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6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6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6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6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6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6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6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76E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semiHidden/>
    <w:unhideWhenUsed/>
    <w:qFormat/>
    <w:rsid w:val="00D5152A"/>
    <w:pPr>
      <w:ind w:left="161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D5152A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customStyle="1" w:styleId="docdata">
    <w:name w:val="docdata"/>
    <w:aliases w:val="docy,v5,1537,baiaagaaboqcaaadogqaaavibaaaaaaaaaaaaaaaaaaaaaaaaaaaaaaaaaaaaaaaaaaaaaaaaaaaaaaaaaaaaaaaaaaaaaaaaaaaaaaaaaaaaaaaaaaaaaaaaaaaaaaaaaaaaaaaaaaaaaaaaaaaaaaaaaaaaaaaaaaaaaaaaaaaaaaaaaaaaaaaaaaaaaaaaaaaaaaaaaaaaaaaaaaaaaaaaaaaaaaaaaaaaaaa"/>
    <w:basedOn w:val="a"/>
    <w:rsid w:val="00D5152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D5152A"/>
    <w:pPr>
      <w:spacing w:after="0" w:line="240" w:lineRule="auto"/>
    </w:pPr>
    <w:rPr>
      <w:kern w:val="0"/>
      <w:sz w:val="22"/>
      <w:szCs w:val="22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Нестеренко</dc:creator>
  <cp:keywords/>
  <dc:description/>
  <cp:lastModifiedBy>Марина Нестеренко</cp:lastModifiedBy>
  <cp:revision>49</cp:revision>
  <dcterms:created xsi:type="dcterms:W3CDTF">2026-02-21T18:12:00Z</dcterms:created>
  <dcterms:modified xsi:type="dcterms:W3CDTF">2026-02-22T15:56:00Z</dcterms:modified>
</cp:coreProperties>
</file>