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43B03944" w:rsidR="00577FCD" w:rsidRDefault="004E3803" w:rsidP="00577FCD">
      <w:pPr>
        <w:jc w:val="center"/>
        <w:outlineLvl w:val="0"/>
        <w:rPr>
          <w:b/>
          <w:sz w:val="40"/>
          <w:szCs w:val="40"/>
        </w:rPr>
      </w:pPr>
      <w:r>
        <w:rPr>
          <w:b/>
          <w:sz w:val="40"/>
          <w:szCs w:val="40"/>
        </w:rPr>
        <w:t xml:space="preserve">ОБГРУНТУВАННЯ </w:t>
      </w:r>
    </w:p>
    <w:p w14:paraId="74A856B9" w14:textId="77777777" w:rsidR="00CF0D2D" w:rsidRPr="004849BE" w:rsidRDefault="00CF0D2D" w:rsidP="00CF0D2D">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CF0D2D" w:rsidRPr="004849BE" w14:paraId="38F29B4D"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13F070" w14:textId="77777777" w:rsidR="00CF0D2D" w:rsidRPr="004849BE" w:rsidRDefault="00CF0D2D" w:rsidP="00F17AA5">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CFBF4FF" w14:textId="791CDE4B" w:rsidR="00CF0D2D" w:rsidRPr="00D26C43" w:rsidRDefault="00595CD8" w:rsidP="00D26C43">
            <w:pPr>
              <w:rPr>
                <w:b/>
                <w:color w:val="00000A"/>
              </w:rPr>
            </w:pPr>
            <w:r w:rsidRPr="00595CD8">
              <w:rPr>
                <w:b/>
                <w:color w:val="00000A"/>
              </w:rPr>
              <w:t xml:space="preserve">Послуги з постачання Ліцензії для аналізу зразків </w:t>
            </w:r>
            <w:proofErr w:type="spellStart"/>
            <w:r w:rsidRPr="00595CD8">
              <w:rPr>
                <w:b/>
                <w:color w:val="00000A"/>
              </w:rPr>
              <w:t>Franklin</w:t>
            </w:r>
            <w:proofErr w:type="spellEnd"/>
            <w:r w:rsidRPr="00595CD8">
              <w:rPr>
                <w:b/>
                <w:color w:val="00000A"/>
              </w:rPr>
              <w:t xml:space="preserve"> Professional 972001 та  Кредиту для аналізу зразку </w:t>
            </w:r>
            <w:proofErr w:type="spellStart"/>
            <w:r w:rsidRPr="00595CD8">
              <w:rPr>
                <w:b/>
                <w:color w:val="00000A"/>
              </w:rPr>
              <w:t>Franklin</w:t>
            </w:r>
            <w:proofErr w:type="spellEnd"/>
            <w:r w:rsidRPr="00595CD8">
              <w:rPr>
                <w:b/>
                <w:color w:val="00000A"/>
              </w:rPr>
              <w:t xml:space="preserve"> </w:t>
            </w:r>
            <w:proofErr w:type="spellStart"/>
            <w:r w:rsidRPr="00595CD8">
              <w:rPr>
                <w:b/>
                <w:color w:val="00000A"/>
              </w:rPr>
              <w:t>Postpaid</w:t>
            </w:r>
            <w:proofErr w:type="spellEnd"/>
            <w:r w:rsidRPr="00595CD8">
              <w:rPr>
                <w:b/>
                <w:color w:val="00000A"/>
              </w:rPr>
              <w:t xml:space="preserve"> </w:t>
            </w:r>
            <w:proofErr w:type="spellStart"/>
            <w:r w:rsidRPr="00595CD8">
              <w:rPr>
                <w:b/>
                <w:color w:val="00000A"/>
              </w:rPr>
              <w:t>Analysis</w:t>
            </w:r>
            <w:proofErr w:type="spellEnd"/>
            <w:r w:rsidRPr="00595CD8">
              <w:rPr>
                <w:b/>
                <w:color w:val="00000A"/>
              </w:rPr>
              <w:t xml:space="preserve"> </w:t>
            </w:r>
            <w:proofErr w:type="spellStart"/>
            <w:r w:rsidRPr="00595CD8">
              <w:rPr>
                <w:b/>
                <w:color w:val="00000A"/>
              </w:rPr>
              <w:t>Credits</w:t>
            </w:r>
            <w:proofErr w:type="spellEnd"/>
            <w:r w:rsidRPr="00595CD8">
              <w:rPr>
                <w:b/>
                <w:color w:val="00000A"/>
              </w:rPr>
              <w:t xml:space="preserve"> 972011 код ДК:021:2015: 7226 0000-5 – Послуги, пов’язані з програмним забезпеченням</w:t>
            </w:r>
          </w:p>
        </w:tc>
      </w:tr>
      <w:tr w:rsidR="00CF0D2D" w:rsidRPr="004849BE" w14:paraId="344ECDDB"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A972"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83D5767" w14:textId="4DE28FF8" w:rsidR="00CF0D2D" w:rsidRPr="004849BE" w:rsidRDefault="00CF0D2D" w:rsidP="00F17AA5">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428FA">
              <w:rPr>
                <w:sz w:val="21"/>
                <w:szCs w:val="21"/>
              </w:rPr>
              <w:t xml:space="preserve">Службової </w:t>
            </w:r>
            <w:r w:rsidR="00595CD8" w:rsidRPr="00595CD8">
              <w:rPr>
                <w:sz w:val="21"/>
                <w:szCs w:val="21"/>
              </w:rPr>
              <w:t xml:space="preserve">завідувача центру генетичної діагностики та </w:t>
            </w:r>
            <w:proofErr w:type="spellStart"/>
            <w:r w:rsidR="00595CD8" w:rsidRPr="00595CD8">
              <w:rPr>
                <w:sz w:val="21"/>
                <w:szCs w:val="21"/>
              </w:rPr>
              <w:t>та</w:t>
            </w:r>
            <w:proofErr w:type="spellEnd"/>
            <w:r w:rsidR="00595CD8" w:rsidRPr="00595CD8">
              <w:rPr>
                <w:sz w:val="21"/>
                <w:szCs w:val="21"/>
              </w:rPr>
              <w:t xml:space="preserve"> клітинної імунотерапії </w:t>
            </w:r>
            <w:proofErr w:type="spellStart"/>
            <w:r w:rsidR="00595CD8" w:rsidRPr="00595CD8">
              <w:rPr>
                <w:sz w:val="21"/>
                <w:szCs w:val="21"/>
              </w:rPr>
              <w:t>Ольхович</w:t>
            </w:r>
            <w:proofErr w:type="spellEnd"/>
            <w:r w:rsidR="00595CD8" w:rsidRPr="00595CD8">
              <w:rPr>
                <w:sz w:val="21"/>
                <w:szCs w:val="21"/>
              </w:rPr>
              <w:t xml:space="preserve"> Н.В. № 1456 від 24.06.2026 р.</w:t>
            </w:r>
          </w:p>
        </w:tc>
      </w:tr>
      <w:tr w:rsidR="00CF0D2D" w:rsidRPr="004849BE" w14:paraId="5E4F9443"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1051"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5E5047A" w14:textId="52FCCE9D" w:rsidR="00D86C1C" w:rsidRPr="00D86C1C" w:rsidRDefault="00D86C1C" w:rsidP="00D86C1C">
            <w:pPr>
              <w:spacing w:line="254" w:lineRule="auto"/>
              <w:jc w:val="both"/>
              <w:rPr>
                <w:color w:val="000000"/>
                <w:lang w:eastAsia="uk-UA"/>
              </w:rPr>
            </w:pPr>
            <w:r w:rsidRPr="00D86C1C">
              <w:rPr>
                <w:color w:val="000000"/>
                <w:lang w:eastAsia="uk-UA"/>
              </w:rPr>
              <w:t xml:space="preserve">Очікувана вартість предмета закупівлі визначена на підставі </w:t>
            </w:r>
            <w:r w:rsidR="00595CD8">
              <w:rPr>
                <w:color w:val="000000"/>
                <w:lang w:eastAsia="uk-UA"/>
              </w:rPr>
              <w:t xml:space="preserve">однієї комерційної пропозиції з наданням </w:t>
            </w:r>
            <w:proofErr w:type="spellStart"/>
            <w:r w:rsidR="00595CD8">
              <w:rPr>
                <w:color w:val="000000"/>
                <w:lang w:eastAsia="uk-UA"/>
              </w:rPr>
              <w:t>авторизаційногоо</w:t>
            </w:r>
            <w:proofErr w:type="spellEnd"/>
            <w:r w:rsidR="00595CD8">
              <w:rPr>
                <w:color w:val="000000"/>
                <w:lang w:eastAsia="uk-UA"/>
              </w:rPr>
              <w:t xml:space="preserve"> листа.</w:t>
            </w:r>
          </w:p>
          <w:p w14:paraId="714AD162" w14:textId="2A1211FB" w:rsidR="00CF0D2D" w:rsidRPr="00D86C1C" w:rsidRDefault="00D86C1C" w:rsidP="00D21497">
            <w:pPr>
              <w:spacing w:line="254" w:lineRule="auto"/>
              <w:jc w:val="both"/>
              <w:rPr>
                <w:b/>
                <w:color w:val="000000"/>
                <w:lang w:eastAsia="uk-UA"/>
              </w:rPr>
            </w:pPr>
            <w:r w:rsidRPr="00D86C1C">
              <w:rPr>
                <w:b/>
                <w:color w:val="000000"/>
                <w:lang w:eastAsia="uk-UA"/>
              </w:rPr>
              <w:t xml:space="preserve">Очікувана вартість закупівлі складає </w:t>
            </w:r>
            <w:r w:rsidR="00595CD8">
              <w:rPr>
                <w:b/>
                <w:color w:val="000000"/>
                <w:lang w:eastAsia="uk-UA"/>
              </w:rPr>
              <w:t>530 010,00</w:t>
            </w:r>
            <w:r w:rsidRPr="00D86C1C">
              <w:rPr>
                <w:b/>
                <w:color w:val="000000"/>
                <w:lang w:eastAsia="uk-UA"/>
              </w:rPr>
              <w:t xml:space="preserve"> грн. (</w:t>
            </w:r>
            <w:r w:rsidR="00595CD8">
              <w:rPr>
                <w:b/>
                <w:color w:val="000000"/>
                <w:lang w:eastAsia="uk-UA"/>
              </w:rPr>
              <w:t>п’ятсот тридцять</w:t>
            </w:r>
            <w:r w:rsidRPr="00D86C1C">
              <w:rPr>
                <w:b/>
                <w:color w:val="000000"/>
                <w:lang w:eastAsia="uk-UA"/>
              </w:rPr>
              <w:t xml:space="preserve"> тисяч  </w:t>
            </w:r>
            <w:r w:rsidR="00595CD8">
              <w:rPr>
                <w:b/>
                <w:color w:val="000000"/>
                <w:lang w:eastAsia="uk-UA"/>
              </w:rPr>
              <w:t xml:space="preserve">десять </w:t>
            </w:r>
            <w:r w:rsidRPr="00D86C1C">
              <w:rPr>
                <w:b/>
                <w:color w:val="000000"/>
                <w:lang w:eastAsia="uk-UA"/>
              </w:rPr>
              <w:t xml:space="preserve">гривень </w:t>
            </w:r>
            <w:r w:rsidR="00595CD8">
              <w:rPr>
                <w:b/>
                <w:color w:val="000000"/>
                <w:lang w:eastAsia="uk-UA"/>
              </w:rPr>
              <w:t>00</w:t>
            </w:r>
            <w:r w:rsidRPr="00D86C1C">
              <w:rPr>
                <w:b/>
                <w:color w:val="000000"/>
                <w:lang w:eastAsia="uk-UA"/>
              </w:rPr>
              <w:t xml:space="preserve"> коп.) з ПДВ.    </w:t>
            </w:r>
          </w:p>
        </w:tc>
      </w:tr>
    </w:tbl>
    <w:p w14:paraId="4F35D83C" w14:textId="77777777" w:rsidR="00CF0D2D" w:rsidRPr="00E6540D" w:rsidRDefault="00CF0D2D" w:rsidP="00CF0D2D">
      <w:pPr>
        <w:jc w:val="right"/>
        <w:rPr>
          <w:b/>
          <w:bCs/>
          <w:i/>
          <w:iCs/>
        </w:rPr>
      </w:pPr>
    </w:p>
    <w:p w14:paraId="7208C060" w14:textId="1CD3DA53" w:rsidR="00D21497" w:rsidRDefault="00CF0D2D" w:rsidP="00595CD8">
      <w:pPr>
        <w:jc w:val="center"/>
        <w:outlineLvl w:val="0"/>
        <w:rPr>
          <w:b/>
          <w:bCs/>
          <w:caps/>
          <w:color w:val="000000"/>
          <w:u w:val="single"/>
        </w:rPr>
      </w:pPr>
      <w:r w:rsidRPr="00E6540D">
        <w:t xml:space="preserve"> </w:t>
      </w:r>
    </w:p>
    <w:p w14:paraId="0CC6349C" w14:textId="77777777" w:rsidR="004969F5" w:rsidRDefault="004969F5" w:rsidP="004969F5">
      <w:pPr>
        <w:jc w:val="both"/>
        <w:rPr>
          <w:b/>
          <w:bCs/>
        </w:rPr>
      </w:pPr>
    </w:p>
    <w:p w14:paraId="2ADCEFC2" w14:textId="77777777" w:rsidR="004969F5" w:rsidRPr="005B60CD" w:rsidRDefault="004969F5" w:rsidP="004969F5">
      <w:pPr>
        <w:spacing w:line="276" w:lineRule="auto"/>
        <w:jc w:val="center"/>
        <w:outlineLvl w:val="0"/>
        <w:rPr>
          <w:b/>
        </w:rPr>
      </w:pPr>
      <w:r w:rsidRPr="005B60CD">
        <w:rPr>
          <w:b/>
        </w:rPr>
        <w:t>ТЕХНІЧНІ ВИМОГИ</w:t>
      </w:r>
    </w:p>
    <w:p w14:paraId="78E6A9F5" w14:textId="77777777" w:rsidR="004969F5" w:rsidRPr="005B60CD" w:rsidRDefault="004969F5" w:rsidP="004969F5">
      <w:pPr>
        <w:spacing w:line="276" w:lineRule="auto"/>
        <w:jc w:val="center"/>
        <w:outlineLvl w:val="0"/>
        <w:rPr>
          <w:b/>
        </w:rPr>
      </w:pPr>
      <w:r w:rsidRPr="005B60CD">
        <w:rPr>
          <w:b/>
        </w:rPr>
        <w:t xml:space="preserve">на закупівлю по предмету: </w:t>
      </w:r>
    </w:p>
    <w:p w14:paraId="44131CF5" w14:textId="77777777" w:rsidR="004969F5" w:rsidRPr="009D5814" w:rsidRDefault="004969F5" w:rsidP="004969F5">
      <w:pPr>
        <w:spacing w:line="276" w:lineRule="auto"/>
        <w:jc w:val="center"/>
        <w:outlineLvl w:val="0"/>
        <w:rPr>
          <w:b/>
        </w:rPr>
      </w:pPr>
      <w:r w:rsidRPr="009D5814">
        <w:rPr>
          <w:b/>
        </w:rPr>
        <w:t xml:space="preserve">Послуги з постачання Ліцензії для аналізу зразків </w:t>
      </w:r>
      <w:proofErr w:type="spellStart"/>
      <w:r w:rsidRPr="009D5814">
        <w:rPr>
          <w:b/>
        </w:rPr>
        <w:t>Franklin</w:t>
      </w:r>
      <w:proofErr w:type="spellEnd"/>
      <w:r w:rsidRPr="009D5814">
        <w:rPr>
          <w:b/>
        </w:rPr>
        <w:t xml:space="preserve"> Professional 972001 та  Кредиту для аналізу зразку </w:t>
      </w:r>
      <w:proofErr w:type="spellStart"/>
      <w:r w:rsidRPr="009D5814">
        <w:rPr>
          <w:b/>
        </w:rPr>
        <w:t>Franklin</w:t>
      </w:r>
      <w:proofErr w:type="spellEnd"/>
      <w:r w:rsidRPr="009D5814">
        <w:rPr>
          <w:b/>
        </w:rPr>
        <w:t xml:space="preserve"> </w:t>
      </w:r>
      <w:proofErr w:type="spellStart"/>
      <w:r w:rsidRPr="009D5814">
        <w:rPr>
          <w:b/>
        </w:rPr>
        <w:t>Postpaid</w:t>
      </w:r>
      <w:proofErr w:type="spellEnd"/>
      <w:r w:rsidRPr="009D5814">
        <w:rPr>
          <w:b/>
        </w:rPr>
        <w:t xml:space="preserve"> </w:t>
      </w:r>
      <w:proofErr w:type="spellStart"/>
      <w:r w:rsidRPr="009D5814">
        <w:rPr>
          <w:b/>
        </w:rPr>
        <w:t>Analysis</w:t>
      </w:r>
      <w:proofErr w:type="spellEnd"/>
      <w:r w:rsidRPr="009D5814">
        <w:rPr>
          <w:b/>
        </w:rPr>
        <w:t xml:space="preserve"> </w:t>
      </w:r>
      <w:proofErr w:type="spellStart"/>
      <w:r w:rsidRPr="009D5814">
        <w:rPr>
          <w:b/>
        </w:rPr>
        <w:t>Credits</w:t>
      </w:r>
      <w:proofErr w:type="spellEnd"/>
      <w:r w:rsidRPr="009D5814">
        <w:rPr>
          <w:b/>
        </w:rPr>
        <w:t xml:space="preserve"> 972011 </w:t>
      </w:r>
    </w:p>
    <w:p w14:paraId="2C4AADB5" w14:textId="77777777" w:rsidR="004969F5" w:rsidRDefault="004969F5" w:rsidP="004969F5">
      <w:pPr>
        <w:spacing w:line="276" w:lineRule="auto"/>
        <w:jc w:val="center"/>
        <w:rPr>
          <w:b/>
        </w:rPr>
      </w:pPr>
      <w:r w:rsidRPr="005B60CD">
        <w:rPr>
          <w:b/>
        </w:rPr>
        <w:t xml:space="preserve">код ДК:021:2015: 7226 0000-5 – Послуги, </w:t>
      </w:r>
      <w:proofErr w:type="spellStart"/>
      <w:r w:rsidRPr="005B60CD">
        <w:rPr>
          <w:b/>
        </w:rPr>
        <w:t>пов</w:t>
      </w:r>
      <w:proofErr w:type="spellEnd"/>
      <w:r w:rsidRPr="005B60CD">
        <w:rPr>
          <w:b/>
          <w:lang w:val="ru-RU"/>
        </w:rPr>
        <w:t>’</w:t>
      </w:r>
      <w:proofErr w:type="spellStart"/>
      <w:r w:rsidRPr="005B60CD">
        <w:rPr>
          <w:b/>
        </w:rPr>
        <w:t>язані</w:t>
      </w:r>
      <w:proofErr w:type="spellEnd"/>
      <w:r w:rsidRPr="005B60CD">
        <w:rPr>
          <w:b/>
        </w:rPr>
        <w:t xml:space="preserve"> з програмним забезпеченням</w:t>
      </w:r>
    </w:p>
    <w:p w14:paraId="47F6D644" w14:textId="77777777" w:rsidR="004969F5" w:rsidRPr="005B60CD" w:rsidRDefault="004969F5" w:rsidP="004969F5">
      <w:pPr>
        <w:spacing w:line="276" w:lineRule="auto"/>
        <w:jc w:val="center"/>
        <w:rPr>
          <w:b/>
          <w:color w:val="333333"/>
        </w:rPr>
      </w:pPr>
    </w:p>
    <w:p w14:paraId="6386BC8D" w14:textId="77777777" w:rsidR="004969F5" w:rsidRPr="005B60CD" w:rsidRDefault="004969F5" w:rsidP="004969F5">
      <w:pPr>
        <w:spacing w:line="276" w:lineRule="auto"/>
        <w:ind w:right="284" w:firstLine="567"/>
        <w:jc w:val="both"/>
        <w:rPr>
          <w:b/>
          <w:color w:val="333333"/>
        </w:rPr>
      </w:pPr>
      <w:r w:rsidRPr="005B60CD">
        <w:rPr>
          <w:b/>
          <w:color w:val="333333"/>
        </w:rPr>
        <w:t>Обґрунтування закупівлі</w:t>
      </w:r>
      <w:r w:rsidRPr="005B60CD">
        <w:t>: для підвищення продуктивності та якості роботи Центру генетичної діагностики та клітинної імунотерапії</w:t>
      </w:r>
      <w:r w:rsidRPr="005B60CD">
        <w:rPr>
          <w:b/>
          <w:color w:val="333333"/>
        </w:rPr>
        <w:t xml:space="preserve"> </w:t>
      </w:r>
      <w:r w:rsidRPr="005B60CD">
        <w:rPr>
          <w:color w:val="333333"/>
        </w:rPr>
        <w:t xml:space="preserve">щодо необхідності закупівлі </w:t>
      </w:r>
      <w:r w:rsidRPr="005B60CD">
        <w:t xml:space="preserve">програмного забезпечення для </w:t>
      </w:r>
      <w:proofErr w:type="spellStart"/>
      <w:r w:rsidRPr="005B60CD">
        <w:t>біоінформатичного</w:t>
      </w:r>
      <w:proofErr w:type="spellEnd"/>
      <w:r w:rsidRPr="005B60CD">
        <w:t xml:space="preserve"> аналізу результатів </w:t>
      </w:r>
      <w:proofErr w:type="spellStart"/>
      <w:r w:rsidRPr="005B60CD">
        <w:t>повногеномного</w:t>
      </w:r>
      <w:proofErr w:type="spellEnd"/>
      <w:r w:rsidRPr="005B60CD">
        <w:t xml:space="preserve">, </w:t>
      </w:r>
      <w:proofErr w:type="spellStart"/>
      <w:r w:rsidRPr="005B60CD">
        <w:t>повноекзомного</w:t>
      </w:r>
      <w:proofErr w:type="spellEnd"/>
      <w:r w:rsidRPr="005B60CD">
        <w:t xml:space="preserve"> та </w:t>
      </w:r>
      <w:proofErr w:type="spellStart"/>
      <w:r w:rsidRPr="005B60CD">
        <w:t>таргетного</w:t>
      </w:r>
      <w:proofErr w:type="spellEnd"/>
      <w:r w:rsidRPr="005B60CD">
        <w:t xml:space="preserve"> </w:t>
      </w:r>
      <w:proofErr w:type="spellStart"/>
      <w:r w:rsidRPr="005B60CD">
        <w:t>секвенування</w:t>
      </w:r>
      <w:proofErr w:type="spellEnd"/>
      <w:r w:rsidRPr="005B60CD">
        <w:t xml:space="preserve">  та клінічної інтерпретації даних.</w:t>
      </w:r>
    </w:p>
    <w:p w14:paraId="42FC62DC" w14:textId="77777777" w:rsidR="004969F5" w:rsidRPr="005B60CD" w:rsidRDefault="004969F5" w:rsidP="004969F5">
      <w:pPr>
        <w:spacing w:line="276" w:lineRule="auto"/>
        <w:ind w:right="284"/>
        <w:jc w:val="both"/>
        <w:rPr>
          <w:bCs/>
          <w:color w:val="333333"/>
        </w:rPr>
      </w:pPr>
    </w:p>
    <w:tbl>
      <w:tblPr>
        <w:tblpPr w:leftFromText="181" w:rightFromText="181" w:vertAnchor="text" w:horzAnchor="margin" w:tblpXSpec="center" w:tblpY="119"/>
        <w:tblW w:w="10050" w:type="dxa"/>
        <w:tblBorders>
          <w:left w:val="single" w:sz="12" w:space="0" w:color="000000"/>
          <w:bottom w:val="single" w:sz="8" w:space="0" w:color="000000"/>
          <w:right w:val="single" w:sz="8" w:space="0" w:color="000000"/>
          <w:insideH w:val="single" w:sz="8" w:space="0" w:color="000000"/>
          <w:insideV w:val="single" w:sz="8" w:space="0" w:color="000000"/>
        </w:tblBorders>
        <w:tblCellMar>
          <w:left w:w="13" w:type="dxa"/>
          <w:bottom w:w="28" w:type="dxa"/>
          <w:right w:w="28" w:type="dxa"/>
        </w:tblCellMar>
        <w:tblLook w:val="0000" w:firstRow="0" w:lastRow="0" w:firstColumn="0" w:lastColumn="0" w:noHBand="0" w:noVBand="0"/>
      </w:tblPr>
      <w:tblGrid>
        <w:gridCol w:w="397"/>
        <w:gridCol w:w="1933"/>
        <w:gridCol w:w="1201"/>
        <w:gridCol w:w="5372"/>
        <w:gridCol w:w="1147"/>
      </w:tblGrid>
      <w:tr w:rsidR="004969F5" w:rsidRPr="005B60CD" w14:paraId="3A95721D" w14:textId="77777777" w:rsidTr="0047321B">
        <w:tc>
          <w:tcPr>
            <w:tcW w:w="372" w:type="dxa"/>
            <w:tcBorders>
              <w:top w:val="single" w:sz="4" w:space="0" w:color="auto"/>
              <w:left w:val="single" w:sz="12" w:space="0" w:color="000000"/>
              <w:bottom w:val="single" w:sz="8" w:space="0" w:color="000000"/>
              <w:right w:val="single" w:sz="8" w:space="0" w:color="000000"/>
            </w:tcBorders>
            <w:shd w:val="clear" w:color="auto" w:fill="auto"/>
            <w:tcMar>
              <w:left w:w="13" w:type="dxa"/>
            </w:tcMar>
          </w:tcPr>
          <w:p w14:paraId="67697281" w14:textId="77777777" w:rsidR="004969F5" w:rsidRPr="005B60CD" w:rsidRDefault="004969F5" w:rsidP="0047321B">
            <w:pPr>
              <w:suppressLineNumbers/>
              <w:ind w:left="57" w:right="57"/>
              <w:jc w:val="center"/>
              <w:rPr>
                <w:rFonts w:eastAsia="Noto Sans CJK SC Regular"/>
                <w:b/>
                <w:lang w:eastAsia="zh-CN" w:bidi="hi-IN"/>
              </w:rPr>
            </w:pPr>
            <w:r w:rsidRPr="005B60CD">
              <w:rPr>
                <w:rFonts w:eastAsia="Noto Sans CJK SC Regular"/>
                <w:b/>
                <w:lang w:eastAsia="zh-CN" w:bidi="hi-IN"/>
              </w:rPr>
              <w:t>№</w:t>
            </w:r>
          </w:p>
        </w:tc>
        <w:tc>
          <w:tcPr>
            <w:tcW w:w="1957" w:type="dxa"/>
            <w:tcBorders>
              <w:top w:val="single" w:sz="4" w:space="0" w:color="auto"/>
              <w:bottom w:val="single" w:sz="8" w:space="0" w:color="000000"/>
              <w:right w:val="single" w:sz="8" w:space="0" w:color="000000"/>
            </w:tcBorders>
            <w:shd w:val="clear" w:color="auto" w:fill="auto"/>
            <w:tcMar>
              <w:left w:w="0" w:type="dxa"/>
            </w:tcMar>
          </w:tcPr>
          <w:p w14:paraId="535A9DDF" w14:textId="77777777" w:rsidR="004969F5" w:rsidRPr="005B60CD" w:rsidRDefault="004969F5" w:rsidP="0047321B">
            <w:pPr>
              <w:suppressLineNumbers/>
              <w:ind w:left="57" w:right="57"/>
              <w:jc w:val="center"/>
              <w:rPr>
                <w:rFonts w:eastAsia="Noto Sans CJK SC Regular"/>
                <w:b/>
                <w:bCs/>
                <w:color w:val="000000"/>
                <w:lang w:eastAsia="zh-CN" w:bidi="hi-IN"/>
              </w:rPr>
            </w:pPr>
            <w:proofErr w:type="spellStart"/>
            <w:r w:rsidRPr="005B60CD">
              <w:rPr>
                <w:rFonts w:eastAsia="Noto Sans CJK SC Regular"/>
                <w:b/>
                <w:bCs/>
                <w:color w:val="000000"/>
                <w:lang w:val="en-US" w:eastAsia="zh-CN" w:bidi="hi-IN"/>
              </w:rPr>
              <w:t>Найменування</w:t>
            </w:r>
            <w:proofErr w:type="spellEnd"/>
            <w:r w:rsidRPr="005B60CD">
              <w:rPr>
                <w:rFonts w:eastAsia="Noto Sans CJK SC Regular"/>
                <w:b/>
                <w:bCs/>
                <w:color w:val="000000"/>
                <w:lang w:val="en-US" w:eastAsia="zh-CN" w:bidi="hi-IN"/>
              </w:rPr>
              <w:t xml:space="preserve"> </w:t>
            </w:r>
            <w:r w:rsidRPr="005B60CD">
              <w:rPr>
                <w:rFonts w:eastAsia="Noto Sans CJK SC Regular"/>
                <w:b/>
                <w:bCs/>
                <w:color w:val="000000"/>
                <w:lang w:eastAsia="zh-CN" w:bidi="hi-IN"/>
              </w:rPr>
              <w:t>послуги</w:t>
            </w:r>
          </w:p>
        </w:tc>
        <w:tc>
          <w:tcPr>
            <w:tcW w:w="1025" w:type="dxa"/>
            <w:tcBorders>
              <w:top w:val="single" w:sz="4" w:space="0" w:color="auto"/>
              <w:bottom w:val="single" w:sz="8" w:space="0" w:color="000000"/>
              <w:right w:val="single" w:sz="8" w:space="0" w:color="000000"/>
            </w:tcBorders>
            <w:shd w:val="clear" w:color="auto" w:fill="auto"/>
            <w:tcMar>
              <w:left w:w="0" w:type="dxa"/>
            </w:tcMar>
          </w:tcPr>
          <w:p w14:paraId="56675A23" w14:textId="77777777" w:rsidR="004969F5" w:rsidRPr="005B60CD" w:rsidRDefault="004969F5" w:rsidP="0047321B">
            <w:pPr>
              <w:suppressLineNumbers/>
              <w:ind w:left="57" w:right="57"/>
              <w:jc w:val="center"/>
              <w:rPr>
                <w:rFonts w:eastAsia="Noto Sans CJK SC Regular"/>
                <w:b/>
                <w:bCs/>
                <w:color w:val="000000"/>
                <w:lang w:val="en-US" w:eastAsia="zh-CN" w:bidi="hi-IN"/>
              </w:rPr>
            </w:pPr>
            <w:proofErr w:type="spellStart"/>
            <w:r w:rsidRPr="005B60CD">
              <w:rPr>
                <w:rFonts w:eastAsia="Noto Sans CJK SC Regular"/>
                <w:b/>
                <w:bCs/>
                <w:color w:val="000000"/>
                <w:lang w:val="en-US" w:eastAsia="zh-CN" w:bidi="hi-IN"/>
              </w:rPr>
              <w:t>Кількість</w:t>
            </w:r>
            <w:proofErr w:type="spellEnd"/>
          </w:p>
        </w:tc>
        <w:tc>
          <w:tcPr>
            <w:tcW w:w="5856" w:type="dxa"/>
            <w:tcBorders>
              <w:top w:val="single" w:sz="4" w:space="0" w:color="auto"/>
              <w:bottom w:val="single" w:sz="8" w:space="0" w:color="000000"/>
              <w:right w:val="single" w:sz="8" w:space="0" w:color="000000"/>
            </w:tcBorders>
            <w:shd w:val="clear" w:color="auto" w:fill="auto"/>
            <w:tcMar>
              <w:left w:w="0" w:type="dxa"/>
            </w:tcMar>
          </w:tcPr>
          <w:p w14:paraId="55F9E0A8" w14:textId="77777777" w:rsidR="004969F5" w:rsidRPr="005B60CD" w:rsidRDefault="004969F5" w:rsidP="0047321B">
            <w:pPr>
              <w:suppressLineNumbers/>
              <w:ind w:left="57" w:right="57"/>
              <w:jc w:val="center"/>
              <w:rPr>
                <w:rFonts w:eastAsia="Noto Sans CJK SC Regular"/>
                <w:b/>
                <w:lang w:eastAsia="zh-CN" w:bidi="hi-IN"/>
              </w:rPr>
            </w:pPr>
            <w:proofErr w:type="spellStart"/>
            <w:r w:rsidRPr="005B60CD">
              <w:rPr>
                <w:rFonts w:eastAsia="Noto Sans CJK SC Regular"/>
                <w:b/>
                <w:bCs/>
                <w:color w:val="000000"/>
                <w:lang w:val="en-US" w:eastAsia="zh-CN" w:bidi="hi-IN"/>
              </w:rPr>
              <w:t>Характеристика</w:t>
            </w:r>
            <w:proofErr w:type="spellEnd"/>
            <w:r w:rsidRPr="005B60CD">
              <w:rPr>
                <w:rFonts w:eastAsia="Noto Sans CJK SC Regular"/>
                <w:b/>
                <w:bCs/>
                <w:color w:val="000000"/>
                <w:lang w:val="en-US" w:eastAsia="zh-CN" w:bidi="hi-IN"/>
              </w:rPr>
              <w:t xml:space="preserve"> </w:t>
            </w:r>
            <w:r w:rsidRPr="005B60CD">
              <w:rPr>
                <w:rFonts w:eastAsia="Noto Sans CJK SC Regular"/>
                <w:b/>
                <w:bCs/>
                <w:color w:val="000000"/>
                <w:lang w:eastAsia="zh-CN" w:bidi="hi-IN"/>
              </w:rPr>
              <w:t>послуги</w:t>
            </w:r>
          </w:p>
        </w:tc>
        <w:tc>
          <w:tcPr>
            <w:tcW w:w="840" w:type="dxa"/>
            <w:tcBorders>
              <w:top w:val="single" w:sz="4" w:space="0" w:color="auto"/>
              <w:bottom w:val="single" w:sz="8" w:space="0" w:color="000000"/>
              <w:right w:val="single" w:sz="8" w:space="0" w:color="000000"/>
            </w:tcBorders>
          </w:tcPr>
          <w:p w14:paraId="6E2C751B" w14:textId="77777777" w:rsidR="004969F5" w:rsidRPr="005B60CD" w:rsidRDefault="004969F5" w:rsidP="0047321B">
            <w:pPr>
              <w:suppressLineNumbers/>
              <w:ind w:left="57" w:right="57"/>
              <w:jc w:val="center"/>
              <w:rPr>
                <w:rFonts w:eastAsia="Noto Sans CJK SC Regular"/>
                <w:b/>
                <w:bCs/>
                <w:color w:val="000000"/>
                <w:lang w:val="en-US" w:eastAsia="zh-CN" w:bidi="hi-IN"/>
              </w:rPr>
            </w:pPr>
            <w:proofErr w:type="spellStart"/>
            <w:r w:rsidRPr="005B60CD">
              <w:rPr>
                <w:rFonts w:eastAsia="Noto Sans CJK SC Regular"/>
                <w:b/>
                <w:bCs/>
                <w:color w:val="000000"/>
                <w:lang w:val="en-US" w:eastAsia="zh-CN" w:bidi="hi-IN"/>
              </w:rPr>
              <w:t>Одиниця</w:t>
            </w:r>
            <w:proofErr w:type="spellEnd"/>
            <w:r w:rsidRPr="005B60CD">
              <w:rPr>
                <w:rFonts w:eastAsia="Noto Sans CJK SC Regular"/>
                <w:b/>
                <w:bCs/>
                <w:color w:val="000000"/>
                <w:lang w:val="en-US" w:eastAsia="zh-CN" w:bidi="hi-IN"/>
              </w:rPr>
              <w:t xml:space="preserve"> </w:t>
            </w:r>
            <w:proofErr w:type="spellStart"/>
            <w:r w:rsidRPr="005B60CD">
              <w:rPr>
                <w:rFonts w:eastAsia="Noto Sans CJK SC Regular"/>
                <w:b/>
                <w:bCs/>
                <w:color w:val="000000"/>
                <w:lang w:val="en-US" w:eastAsia="zh-CN" w:bidi="hi-IN"/>
              </w:rPr>
              <w:t>виміру</w:t>
            </w:r>
            <w:proofErr w:type="spellEnd"/>
          </w:p>
        </w:tc>
      </w:tr>
      <w:tr w:rsidR="004969F5" w:rsidRPr="005B60CD" w14:paraId="083D2C43" w14:textId="77777777" w:rsidTr="0047321B">
        <w:trPr>
          <w:trHeight w:val="20"/>
        </w:trPr>
        <w:tc>
          <w:tcPr>
            <w:tcW w:w="372" w:type="dxa"/>
            <w:tcBorders>
              <w:left w:val="single" w:sz="12" w:space="0" w:color="000000"/>
              <w:right w:val="single" w:sz="8" w:space="0" w:color="000000"/>
            </w:tcBorders>
            <w:shd w:val="clear" w:color="auto" w:fill="auto"/>
            <w:tcMar>
              <w:left w:w="13" w:type="dxa"/>
            </w:tcMar>
          </w:tcPr>
          <w:p w14:paraId="12478C31" w14:textId="77777777" w:rsidR="004969F5" w:rsidRPr="005B60CD" w:rsidRDefault="004969F5" w:rsidP="0047321B">
            <w:r w:rsidRPr="005B60CD">
              <w:t>1</w:t>
            </w:r>
          </w:p>
        </w:tc>
        <w:tc>
          <w:tcPr>
            <w:tcW w:w="1957" w:type="dxa"/>
            <w:tcBorders>
              <w:right w:val="single" w:sz="8" w:space="0" w:color="000000"/>
            </w:tcBorders>
            <w:shd w:val="clear" w:color="auto" w:fill="auto"/>
            <w:tcMar>
              <w:left w:w="0" w:type="dxa"/>
            </w:tcMar>
          </w:tcPr>
          <w:p w14:paraId="5DD9FC7B" w14:textId="77777777" w:rsidR="004969F5" w:rsidRPr="005B60CD" w:rsidRDefault="004969F5" w:rsidP="0047321B">
            <w:pPr>
              <w:suppressLineNumbers/>
              <w:ind w:right="57"/>
              <w:rPr>
                <w:rFonts w:eastAsia="Noto Sans CJK SC Regular"/>
                <w:lang w:eastAsia="zh-CN" w:bidi="hi-IN"/>
              </w:rPr>
            </w:pPr>
            <w:r w:rsidRPr="005B60CD">
              <w:rPr>
                <w:rFonts w:eastAsia="Noto Sans CJK SC Regular"/>
                <w:lang w:eastAsia="zh-CN" w:bidi="hi-IN"/>
              </w:rPr>
              <w:t xml:space="preserve">Ліцензія для аналізу зразків </w:t>
            </w:r>
            <w:r w:rsidRPr="005B60CD">
              <w:rPr>
                <w:rFonts w:eastAsia="Noto Sans CJK SC Regular"/>
                <w:lang w:val="en-US" w:eastAsia="zh-CN" w:bidi="hi-IN"/>
              </w:rPr>
              <w:t>Franklin</w:t>
            </w:r>
            <w:r w:rsidRPr="005B60CD">
              <w:rPr>
                <w:rFonts w:eastAsia="Noto Sans CJK SC Regular"/>
                <w:lang w:eastAsia="zh-CN" w:bidi="hi-IN"/>
              </w:rPr>
              <w:t xml:space="preserve"> </w:t>
            </w:r>
            <w:r w:rsidRPr="005B60CD">
              <w:rPr>
                <w:rFonts w:eastAsia="Noto Sans CJK SC Regular"/>
                <w:lang w:val="en-US" w:eastAsia="zh-CN" w:bidi="hi-IN"/>
              </w:rPr>
              <w:t>Professional</w:t>
            </w:r>
            <w:r w:rsidRPr="005B60CD">
              <w:rPr>
                <w:rFonts w:eastAsia="Noto Sans CJK SC Regular"/>
                <w:lang w:eastAsia="zh-CN" w:bidi="hi-IN"/>
              </w:rPr>
              <w:t xml:space="preserve"> 972001 або еквівалент.</w:t>
            </w:r>
          </w:p>
        </w:tc>
        <w:tc>
          <w:tcPr>
            <w:tcW w:w="1025" w:type="dxa"/>
            <w:tcBorders>
              <w:right w:val="single" w:sz="8" w:space="0" w:color="000000"/>
            </w:tcBorders>
            <w:shd w:val="clear" w:color="auto" w:fill="auto"/>
            <w:tcMar>
              <w:left w:w="0" w:type="dxa"/>
            </w:tcMar>
          </w:tcPr>
          <w:p w14:paraId="0EB7DBDE" w14:textId="77777777" w:rsidR="004969F5" w:rsidRPr="005B60CD" w:rsidRDefault="004969F5" w:rsidP="0047321B">
            <w:pPr>
              <w:suppressLineNumbers/>
              <w:ind w:left="57" w:right="57"/>
              <w:jc w:val="right"/>
              <w:rPr>
                <w:rFonts w:eastAsia="Noto Sans CJK SC Regular"/>
                <w:lang w:val="en-US" w:eastAsia="zh-CN" w:bidi="hi-IN"/>
              </w:rPr>
            </w:pPr>
            <w:r w:rsidRPr="005B60CD">
              <w:rPr>
                <w:rFonts w:eastAsia="Noto Sans CJK SC Regular"/>
                <w:lang w:val="en-US" w:eastAsia="zh-CN" w:bidi="hi-IN"/>
              </w:rPr>
              <w:t>1</w:t>
            </w:r>
          </w:p>
        </w:tc>
        <w:tc>
          <w:tcPr>
            <w:tcW w:w="5856" w:type="dxa"/>
            <w:tcBorders>
              <w:right w:val="single" w:sz="8" w:space="0" w:color="000000"/>
            </w:tcBorders>
            <w:shd w:val="clear" w:color="auto" w:fill="auto"/>
            <w:tcMar>
              <w:left w:w="0" w:type="dxa"/>
            </w:tcMar>
          </w:tcPr>
          <w:p w14:paraId="3E7A9DAE" w14:textId="77777777" w:rsidR="004969F5" w:rsidRPr="005B60CD" w:rsidRDefault="004969F5" w:rsidP="0047321B">
            <w:pPr>
              <w:suppressLineNumbers/>
              <w:ind w:left="57" w:right="57"/>
              <w:jc w:val="both"/>
              <w:rPr>
                <w:rFonts w:eastAsia="Noto Sans CJK SC Regular"/>
                <w:lang w:eastAsia="zh-CN" w:bidi="hi-IN"/>
              </w:rPr>
            </w:pPr>
            <w:r w:rsidRPr="005B60CD">
              <w:rPr>
                <w:rFonts w:eastAsia="Noto Sans CJK SC Regular"/>
                <w:lang w:eastAsia="zh-CN" w:bidi="hi-IN"/>
              </w:rPr>
              <w:t xml:space="preserve">Програмне забезпечення для </w:t>
            </w:r>
            <w:proofErr w:type="spellStart"/>
            <w:r w:rsidRPr="005B60CD">
              <w:rPr>
                <w:rFonts w:eastAsia="Noto Sans CJK SC Regular"/>
                <w:lang w:eastAsia="zh-CN" w:bidi="hi-IN"/>
              </w:rPr>
              <w:t>біоінформатичного</w:t>
            </w:r>
            <w:proofErr w:type="spellEnd"/>
            <w:r w:rsidRPr="005B60CD">
              <w:rPr>
                <w:rFonts w:eastAsia="Noto Sans CJK SC Regular"/>
                <w:lang w:eastAsia="zh-CN" w:bidi="hi-IN"/>
              </w:rPr>
              <w:t xml:space="preserve"> аналізу результатів </w:t>
            </w:r>
            <w:proofErr w:type="spellStart"/>
            <w:r w:rsidRPr="005B60CD">
              <w:rPr>
                <w:rFonts w:eastAsia="Noto Sans CJK SC Regular"/>
                <w:lang w:eastAsia="zh-CN" w:bidi="hi-IN"/>
              </w:rPr>
              <w:t>повногеномного</w:t>
            </w:r>
            <w:proofErr w:type="spellEnd"/>
            <w:r w:rsidRPr="005B60CD">
              <w:rPr>
                <w:rFonts w:eastAsia="Noto Sans CJK SC Regular"/>
                <w:lang w:eastAsia="zh-CN" w:bidi="hi-IN"/>
              </w:rPr>
              <w:t xml:space="preserve">, </w:t>
            </w:r>
            <w:proofErr w:type="spellStart"/>
            <w:r w:rsidRPr="005B60CD">
              <w:rPr>
                <w:rFonts w:eastAsia="Noto Sans CJK SC Regular"/>
                <w:lang w:eastAsia="zh-CN" w:bidi="hi-IN"/>
              </w:rPr>
              <w:t>повноекзомного</w:t>
            </w:r>
            <w:proofErr w:type="spellEnd"/>
            <w:r w:rsidRPr="005B60CD">
              <w:rPr>
                <w:rFonts w:eastAsia="Noto Sans CJK SC Regular"/>
                <w:lang w:eastAsia="zh-CN" w:bidi="hi-IN"/>
              </w:rPr>
              <w:t xml:space="preserve"> та </w:t>
            </w:r>
            <w:proofErr w:type="spellStart"/>
            <w:r w:rsidRPr="005B60CD">
              <w:rPr>
                <w:rFonts w:eastAsia="Noto Sans CJK SC Regular"/>
                <w:lang w:eastAsia="zh-CN" w:bidi="hi-IN"/>
              </w:rPr>
              <w:t>таргетного</w:t>
            </w:r>
            <w:proofErr w:type="spellEnd"/>
            <w:r w:rsidRPr="005B60CD">
              <w:rPr>
                <w:rFonts w:eastAsia="Noto Sans CJK SC Regular"/>
                <w:lang w:eastAsia="zh-CN" w:bidi="hi-IN"/>
              </w:rPr>
              <w:t xml:space="preserve">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та клінічної інтерпретації даних. Підтримка аналізу даних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включаючи роботу з VCF-файлами, отриманих за допомогою платформ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нового покоління. Програмне забезпечення дозволяє виконувати аналіз панелей </w:t>
            </w:r>
            <w:proofErr w:type="spellStart"/>
            <w:r w:rsidRPr="005B60CD">
              <w:rPr>
                <w:rFonts w:eastAsia="Noto Sans CJK SC Regular"/>
                <w:lang w:eastAsia="zh-CN" w:bidi="hi-IN"/>
              </w:rPr>
              <w:t>таргетного</w:t>
            </w:r>
            <w:proofErr w:type="spellEnd"/>
            <w:r w:rsidRPr="005B60CD">
              <w:rPr>
                <w:rFonts w:eastAsia="Noto Sans CJK SC Regular"/>
                <w:lang w:eastAsia="zh-CN" w:bidi="hi-IN"/>
              </w:rPr>
              <w:t xml:space="preserve">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аналіз варіації кількості копій генів, аналіз </w:t>
            </w:r>
            <w:proofErr w:type="spellStart"/>
            <w:r w:rsidRPr="005B60CD">
              <w:rPr>
                <w:rFonts w:eastAsia="Noto Sans CJK SC Regular"/>
                <w:lang w:eastAsia="zh-CN" w:bidi="hi-IN"/>
              </w:rPr>
              <w:t>екзому</w:t>
            </w:r>
            <w:proofErr w:type="spellEnd"/>
            <w:r w:rsidRPr="005B60CD">
              <w:rPr>
                <w:rFonts w:eastAsia="Noto Sans CJK SC Regular"/>
                <w:lang w:eastAsia="zh-CN" w:bidi="hi-IN"/>
              </w:rPr>
              <w:t xml:space="preserve">, аналіз повного </w:t>
            </w:r>
            <w:proofErr w:type="spellStart"/>
            <w:r w:rsidRPr="005B60CD">
              <w:rPr>
                <w:rFonts w:eastAsia="Noto Sans CJK SC Regular"/>
                <w:lang w:eastAsia="zh-CN" w:bidi="hi-IN"/>
              </w:rPr>
              <w:t>геному</w:t>
            </w:r>
            <w:proofErr w:type="spellEnd"/>
            <w:r w:rsidRPr="005B60CD">
              <w:rPr>
                <w:rFonts w:eastAsia="Noto Sans CJK SC Regular"/>
                <w:lang w:eastAsia="zh-CN" w:bidi="hi-IN"/>
              </w:rPr>
              <w:t xml:space="preserve">. Забезпечує інтерпретацію, класифікацію  та </w:t>
            </w:r>
            <w:proofErr w:type="spellStart"/>
            <w:r w:rsidRPr="005B60CD">
              <w:rPr>
                <w:rFonts w:eastAsia="Noto Sans CJK SC Regular"/>
                <w:lang w:eastAsia="zh-CN" w:bidi="hi-IN"/>
              </w:rPr>
              <w:t>пріоритизацію</w:t>
            </w:r>
            <w:proofErr w:type="spellEnd"/>
            <w:r w:rsidRPr="005B60CD">
              <w:rPr>
                <w:rFonts w:eastAsia="Noto Sans CJK SC Regular"/>
                <w:lang w:eastAsia="zh-CN" w:bidi="hi-IN"/>
              </w:rPr>
              <w:t xml:space="preserve"> мутацій з урахуванням даних фенотипу пацієнта. Підтримує інтеграцію з базою HGMD</w:t>
            </w:r>
            <w:r w:rsidRPr="005B60CD">
              <w:rPr>
                <w:rFonts w:ascii="Liberation Serif" w:eastAsia="Noto Sans CJK SC Regular" w:hAnsi="Liberation Serif" w:cs="FreeSans"/>
                <w:lang w:eastAsia="zh-CN" w:bidi="hi-IN"/>
              </w:rPr>
              <w:t xml:space="preserve"> </w:t>
            </w:r>
            <w:r w:rsidRPr="005B60CD">
              <w:rPr>
                <w:rFonts w:eastAsia="Noto Sans CJK SC Regular"/>
                <w:lang w:eastAsia="zh-CN" w:bidi="hi-IN"/>
              </w:rPr>
              <w:t>Professional та доступ до наукових і клінічних джерел інформації. Підтримує автоматизовану класифікацію ACMG.</w:t>
            </w:r>
          </w:p>
          <w:p w14:paraId="00FFE160"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Термін дії ліцензії: 12 місяців.</w:t>
            </w:r>
          </w:p>
        </w:tc>
        <w:tc>
          <w:tcPr>
            <w:tcW w:w="840" w:type="dxa"/>
            <w:tcBorders>
              <w:right w:val="single" w:sz="8" w:space="0" w:color="000000"/>
            </w:tcBorders>
          </w:tcPr>
          <w:p w14:paraId="7375C616" w14:textId="77777777" w:rsidR="004969F5" w:rsidRPr="005B60CD" w:rsidRDefault="004969F5" w:rsidP="0047321B">
            <w:pPr>
              <w:suppressLineNumbers/>
              <w:ind w:left="57" w:right="57"/>
              <w:jc w:val="center"/>
              <w:rPr>
                <w:rFonts w:eastAsia="Noto Sans CJK SC Regular"/>
                <w:lang w:eastAsia="zh-CN" w:bidi="hi-IN"/>
              </w:rPr>
            </w:pPr>
            <w:proofErr w:type="spellStart"/>
            <w:r w:rsidRPr="005B60CD">
              <w:rPr>
                <w:rFonts w:eastAsia="Noto Sans CJK SC Regular"/>
                <w:lang w:eastAsia="zh-CN" w:bidi="hi-IN"/>
              </w:rPr>
              <w:t>шт</w:t>
            </w:r>
            <w:proofErr w:type="spellEnd"/>
          </w:p>
        </w:tc>
      </w:tr>
      <w:tr w:rsidR="004969F5" w:rsidRPr="005B60CD" w14:paraId="0C7846FE" w14:textId="77777777" w:rsidTr="0047321B">
        <w:trPr>
          <w:trHeight w:val="20"/>
        </w:trPr>
        <w:tc>
          <w:tcPr>
            <w:tcW w:w="372" w:type="dxa"/>
            <w:tcBorders>
              <w:left w:val="single" w:sz="12" w:space="0" w:color="000000"/>
              <w:right w:val="single" w:sz="8" w:space="0" w:color="000000"/>
            </w:tcBorders>
            <w:shd w:val="clear" w:color="auto" w:fill="auto"/>
            <w:tcMar>
              <w:left w:w="13" w:type="dxa"/>
            </w:tcMar>
          </w:tcPr>
          <w:p w14:paraId="2DD7C581" w14:textId="77777777" w:rsidR="004969F5" w:rsidRPr="005B60CD" w:rsidRDefault="004969F5" w:rsidP="0047321B">
            <w:pPr>
              <w:suppressLineNumbers/>
              <w:ind w:left="57" w:right="57"/>
              <w:jc w:val="center"/>
              <w:rPr>
                <w:rFonts w:eastAsia="Noto Sans CJK SC Regular"/>
                <w:lang w:eastAsia="zh-CN" w:bidi="hi-IN"/>
              </w:rPr>
            </w:pPr>
            <w:r w:rsidRPr="005B60CD">
              <w:rPr>
                <w:rFonts w:eastAsia="Noto Sans CJK SC Regular"/>
                <w:lang w:eastAsia="zh-CN" w:bidi="hi-IN"/>
              </w:rPr>
              <w:lastRenderedPageBreak/>
              <w:t>2</w:t>
            </w:r>
          </w:p>
        </w:tc>
        <w:tc>
          <w:tcPr>
            <w:tcW w:w="1957" w:type="dxa"/>
            <w:tcBorders>
              <w:right w:val="single" w:sz="8" w:space="0" w:color="000000"/>
            </w:tcBorders>
            <w:shd w:val="clear" w:color="auto" w:fill="auto"/>
            <w:tcMar>
              <w:left w:w="0" w:type="dxa"/>
            </w:tcMar>
          </w:tcPr>
          <w:p w14:paraId="49C0C46C"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 xml:space="preserve">Кредит для аналізу зразку </w:t>
            </w:r>
            <w:r w:rsidRPr="005B60CD">
              <w:rPr>
                <w:rFonts w:eastAsia="Noto Sans CJK SC Regular"/>
                <w:lang w:val="en-US" w:eastAsia="zh-CN" w:bidi="hi-IN"/>
              </w:rPr>
              <w:t>Franklin</w:t>
            </w:r>
            <w:r w:rsidRPr="005B60CD">
              <w:rPr>
                <w:rFonts w:eastAsia="Noto Sans CJK SC Regular"/>
                <w:lang w:eastAsia="zh-CN" w:bidi="hi-IN"/>
              </w:rPr>
              <w:t xml:space="preserve"> </w:t>
            </w:r>
            <w:r w:rsidRPr="005B60CD">
              <w:rPr>
                <w:rFonts w:eastAsia="Noto Sans CJK SC Regular"/>
                <w:lang w:val="en-US" w:eastAsia="zh-CN" w:bidi="hi-IN"/>
              </w:rPr>
              <w:t>Postpaid</w:t>
            </w:r>
            <w:r w:rsidRPr="005B60CD">
              <w:rPr>
                <w:rFonts w:eastAsia="Noto Sans CJK SC Regular"/>
                <w:lang w:eastAsia="zh-CN" w:bidi="hi-IN"/>
              </w:rPr>
              <w:t xml:space="preserve"> </w:t>
            </w:r>
            <w:r w:rsidRPr="005B60CD">
              <w:rPr>
                <w:rFonts w:eastAsia="Noto Sans CJK SC Regular"/>
                <w:lang w:val="en-US" w:eastAsia="zh-CN" w:bidi="hi-IN"/>
              </w:rPr>
              <w:t>Analysis</w:t>
            </w:r>
            <w:r w:rsidRPr="005B60CD">
              <w:rPr>
                <w:rFonts w:eastAsia="Noto Sans CJK SC Regular"/>
                <w:lang w:eastAsia="zh-CN" w:bidi="hi-IN"/>
              </w:rPr>
              <w:t xml:space="preserve"> </w:t>
            </w:r>
            <w:r w:rsidRPr="005B60CD">
              <w:rPr>
                <w:rFonts w:eastAsia="Noto Sans CJK SC Regular"/>
                <w:lang w:val="en-US" w:eastAsia="zh-CN" w:bidi="hi-IN"/>
              </w:rPr>
              <w:t>Credits</w:t>
            </w:r>
            <w:r w:rsidRPr="005B60CD">
              <w:rPr>
                <w:rFonts w:eastAsia="Noto Sans CJK SC Regular"/>
                <w:lang w:eastAsia="zh-CN" w:bidi="hi-IN"/>
              </w:rPr>
              <w:t xml:space="preserve"> 972011 або еквівалент.</w:t>
            </w:r>
          </w:p>
        </w:tc>
        <w:tc>
          <w:tcPr>
            <w:tcW w:w="1025" w:type="dxa"/>
            <w:tcBorders>
              <w:right w:val="single" w:sz="8" w:space="0" w:color="000000"/>
            </w:tcBorders>
            <w:shd w:val="clear" w:color="auto" w:fill="auto"/>
            <w:tcMar>
              <w:left w:w="0" w:type="dxa"/>
            </w:tcMar>
          </w:tcPr>
          <w:p w14:paraId="033C45EB" w14:textId="77777777" w:rsidR="004969F5" w:rsidRPr="005B60CD" w:rsidRDefault="004969F5" w:rsidP="0047321B">
            <w:pPr>
              <w:suppressLineNumbers/>
              <w:ind w:left="57" w:right="57"/>
              <w:jc w:val="right"/>
              <w:rPr>
                <w:rFonts w:eastAsia="Noto Sans CJK SC Regular"/>
                <w:lang w:val="ru-RU" w:eastAsia="zh-CN" w:bidi="hi-IN"/>
              </w:rPr>
            </w:pPr>
            <w:r w:rsidRPr="005B60CD">
              <w:rPr>
                <w:rFonts w:eastAsia="Noto Sans CJK SC Regular"/>
                <w:lang w:val="ru-RU" w:eastAsia="zh-CN" w:bidi="hi-IN"/>
              </w:rPr>
              <w:t>100</w:t>
            </w:r>
          </w:p>
        </w:tc>
        <w:tc>
          <w:tcPr>
            <w:tcW w:w="5856" w:type="dxa"/>
            <w:tcBorders>
              <w:right w:val="single" w:sz="8" w:space="0" w:color="000000"/>
            </w:tcBorders>
            <w:shd w:val="clear" w:color="auto" w:fill="auto"/>
            <w:tcMar>
              <w:left w:w="0" w:type="dxa"/>
            </w:tcMar>
          </w:tcPr>
          <w:p w14:paraId="3A530450" w14:textId="77777777" w:rsidR="004969F5" w:rsidRPr="005B60CD" w:rsidRDefault="004969F5" w:rsidP="0047321B">
            <w:pPr>
              <w:suppressLineNumbers/>
              <w:ind w:left="57" w:right="57"/>
              <w:jc w:val="both"/>
              <w:rPr>
                <w:rFonts w:eastAsia="Noto Sans CJK SC Regular"/>
                <w:lang w:eastAsia="zh-CN" w:bidi="hi-IN"/>
              </w:rPr>
            </w:pPr>
            <w:r w:rsidRPr="005B60CD">
              <w:rPr>
                <w:rFonts w:eastAsia="Noto Sans CJK SC Regular"/>
                <w:lang w:eastAsia="zh-CN" w:bidi="hi-IN"/>
              </w:rPr>
              <w:t xml:space="preserve">Аналітичний кредит для виконання аналізу даних у програмному забезпеченні </w:t>
            </w:r>
            <w:proofErr w:type="spellStart"/>
            <w:r w:rsidRPr="005B60CD">
              <w:rPr>
                <w:rFonts w:eastAsia="Noto Sans CJK SC Regular"/>
                <w:lang w:eastAsia="zh-CN" w:bidi="hi-IN"/>
              </w:rPr>
              <w:t>Franklin</w:t>
            </w:r>
            <w:proofErr w:type="spellEnd"/>
            <w:r w:rsidRPr="005B60CD">
              <w:rPr>
                <w:rFonts w:eastAsia="Noto Sans CJK SC Regular"/>
                <w:lang w:eastAsia="zh-CN" w:bidi="hi-IN"/>
              </w:rPr>
              <w:t>. використовується для проведення аналізу та інтерпретації генетичних даних.</w:t>
            </w:r>
          </w:p>
          <w:p w14:paraId="1DD956E5"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 xml:space="preserve">Має бути сумісним із ліцензією </w:t>
            </w:r>
            <w:proofErr w:type="spellStart"/>
            <w:r w:rsidRPr="005B60CD">
              <w:rPr>
                <w:rFonts w:eastAsia="Noto Sans CJK SC Regular"/>
                <w:lang w:eastAsia="zh-CN" w:bidi="hi-IN"/>
              </w:rPr>
              <w:t>Franklin</w:t>
            </w:r>
            <w:proofErr w:type="spellEnd"/>
            <w:r w:rsidRPr="005B60CD">
              <w:rPr>
                <w:rFonts w:eastAsia="Noto Sans CJK SC Regular"/>
                <w:lang w:eastAsia="zh-CN" w:bidi="hi-IN"/>
              </w:rPr>
              <w:t xml:space="preserve"> Professional.</w:t>
            </w:r>
          </w:p>
          <w:p w14:paraId="35E753E7"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Термін дії кредиту: 12 місяців.</w:t>
            </w:r>
          </w:p>
        </w:tc>
        <w:tc>
          <w:tcPr>
            <w:tcW w:w="840" w:type="dxa"/>
            <w:tcBorders>
              <w:right w:val="single" w:sz="8" w:space="0" w:color="000000"/>
            </w:tcBorders>
          </w:tcPr>
          <w:p w14:paraId="068A8E0D" w14:textId="77777777" w:rsidR="004969F5" w:rsidRPr="005B60CD" w:rsidRDefault="004969F5" w:rsidP="0047321B">
            <w:pPr>
              <w:suppressLineNumbers/>
              <w:ind w:left="57" w:right="57"/>
              <w:jc w:val="center"/>
              <w:rPr>
                <w:rFonts w:eastAsia="Noto Sans CJK SC Regular"/>
                <w:lang w:eastAsia="zh-CN" w:bidi="hi-IN"/>
              </w:rPr>
            </w:pPr>
            <w:proofErr w:type="spellStart"/>
            <w:r w:rsidRPr="005B60CD">
              <w:rPr>
                <w:rFonts w:eastAsia="Noto Sans CJK SC Regular"/>
                <w:lang w:eastAsia="zh-CN" w:bidi="hi-IN"/>
              </w:rPr>
              <w:t>шт</w:t>
            </w:r>
            <w:proofErr w:type="spellEnd"/>
          </w:p>
        </w:tc>
      </w:tr>
    </w:tbl>
    <w:p w14:paraId="7D482F93" w14:textId="77777777" w:rsidR="004969F5" w:rsidRPr="005B60CD" w:rsidRDefault="004969F5" w:rsidP="004969F5">
      <w:pPr>
        <w:spacing w:line="276" w:lineRule="auto"/>
        <w:rPr>
          <w:bCs/>
          <w:color w:val="000000"/>
          <w:lang w:val="ru-RU"/>
        </w:rPr>
      </w:pPr>
    </w:p>
    <w:p w14:paraId="5556082C" w14:textId="77777777" w:rsidR="004969F5" w:rsidRPr="005B60CD" w:rsidRDefault="004969F5" w:rsidP="004969F5">
      <w:pPr>
        <w:spacing w:line="276" w:lineRule="auto"/>
        <w:jc w:val="center"/>
        <w:rPr>
          <w:rFonts w:eastAsia="Courier New"/>
          <w:b/>
          <w:bCs/>
        </w:rPr>
      </w:pPr>
      <w:r w:rsidRPr="005B60CD">
        <w:rPr>
          <w:rFonts w:eastAsia="Courier New"/>
          <w:b/>
          <w:bCs/>
        </w:rPr>
        <w:t>Технічні вимоги/ Технічна специфікація:</w:t>
      </w:r>
    </w:p>
    <w:p w14:paraId="60845DDE" w14:textId="77777777" w:rsidR="004969F5" w:rsidRPr="005B60CD" w:rsidRDefault="004969F5" w:rsidP="004969F5">
      <w:pPr>
        <w:spacing w:line="276" w:lineRule="auto"/>
        <w:rPr>
          <w:bCs/>
        </w:rPr>
      </w:pPr>
    </w:p>
    <w:tbl>
      <w:tblPr>
        <w:tblStyle w:val="8"/>
        <w:tblW w:w="9931" w:type="dxa"/>
        <w:tblInd w:w="-431" w:type="dxa"/>
        <w:tblLook w:val="04A0" w:firstRow="1" w:lastRow="0" w:firstColumn="1" w:lastColumn="0" w:noHBand="0" w:noVBand="1"/>
      </w:tblPr>
      <w:tblGrid>
        <w:gridCol w:w="7623"/>
        <w:gridCol w:w="2308"/>
      </w:tblGrid>
      <w:tr w:rsidR="004969F5" w:rsidRPr="005B60CD" w14:paraId="3DF1BFAC" w14:textId="77777777" w:rsidTr="004969F5">
        <w:trPr>
          <w:trHeight w:val="319"/>
        </w:trPr>
        <w:tc>
          <w:tcPr>
            <w:tcW w:w="7623" w:type="dxa"/>
          </w:tcPr>
          <w:p w14:paraId="5111FE57" w14:textId="77777777" w:rsidR="004969F5" w:rsidRPr="005B60CD" w:rsidRDefault="004969F5" w:rsidP="0047321B">
            <w:pPr>
              <w:spacing w:line="276" w:lineRule="auto"/>
              <w:jc w:val="center"/>
              <w:rPr>
                <w:b/>
              </w:rPr>
            </w:pPr>
            <w:r w:rsidRPr="005B60CD">
              <w:rPr>
                <w:b/>
              </w:rPr>
              <w:t>Найменування/ критерії/ опис предмета закупівлі</w:t>
            </w:r>
          </w:p>
        </w:tc>
        <w:tc>
          <w:tcPr>
            <w:tcW w:w="2308" w:type="dxa"/>
          </w:tcPr>
          <w:p w14:paraId="3A5730A3" w14:textId="77777777" w:rsidR="004969F5" w:rsidRPr="005B60CD" w:rsidRDefault="004969F5" w:rsidP="0047321B">
            <w:pPr>
              <w:spacing w:line="276" w:lineRule="auto"/>
              <w:jc w:val="center"/>
              <w:rPr>
                <w:b/>
              </w:rPr>
            </w:pPr>
            <w:r w:rsidRPr="005B60CD">
              <w:rPr>
                <w:b/>
              </w:rPr>
              <w:t>Відповідність / так</w:t>
            </w:r>
          </w:p>
        </w:tc>
      </w:tr>
      <w:tr w:rsidR="004969F5" w:rsidRPr="005B60CD" w14:paraId="796FC69F" w14:textId="77777777" w:rsidTr="004969F5">
        <w:trPr>
          <w:trHeight w:val="6041"/>
        </w:trPr>
        <w:tc>
          <w:tcPr>
            <w:tcW w:w="7623" w:type="dxa"/>
          </w:tcPr>
          <w:p w14:paraId="7E52F6E2" w14:textId="77777777" w:rsidR="004969F5" w:rsidRPr="005B60CD" w:rsidRDefault="004969F5" w:rsidP="0047321B">
            <w:pPr>
              <w:rPr>
                <w:bCs/>
                <w:color w:val="000000"/>
              </w:rPr>
            </w:pPr>
          </w:p>
          <w:p w14:paraId="4FD62E4B" w14:textId="77777777" w:rsidR="004969F5" w:rsidRPr="005B60CD" w:rsidRDefault="004969F5" w:rsidP="0047321B">
            <w:pPr>
              <w:spacing w:line="276" w:lineRule="auto"/>
              <w:rPr>
                <w:b/>
                <w:bCs/>
              </w:rPr>
            </w:pPr>
            <w:r w:rsidRPr="005B60CD">
              <w:rPr>
                <w:b/>
                <w:color w:val="000000"/>
              </w:rPr>
              <w:t xml:space="preserve"> </w:t>
            </w:r>
            <w:r w:rsidRPr="005B60CD">
              <w:rPr>
                <w:b/>
                <w:bCs/>
              </w:rPr>
              <w:t xml:space="preserve">Закупівля: </w:t>
            </w:r>
          </w:p>
          <w:p w14:paraId="66BAC631" w14:textId="77777777" w:rsidR="004969F5" w:rsidRPr="009D5814" w:rsidRDefault="004969F5" w:rsidP="0047321B">
            <w:pPr>
              <w:spacing w:line="276" w:lineRule="auto"/>
              <w:ind w:left="360"/>
              <w:contextualSpacing/>
            </w:pPr>
            <w:r>
              <w:t xml:space="preserve">1. </w:t>
            </w:r>
            <w:r w:rsidRPr="005B60CD">
              <w:t xml:space="preserve">Ліцензія для аналізу зразків </w:t>
            </w:r>
            <w:proofErr w:type="spellStart"/>
            <w:r w:rsidRPr="005B60CD">
              <w:t>Franklin</w:t>
            </w:r>
            <w:proofErr w:type="spellEnd"/>
            <w:r w:rsidRPr="005B60CD">
              <w:t xml:space="preserve"> Professional 972001 або еквівалент в кількості 1 шт.;</w:t>
            </w:r>
          </w:p>
          <w:p w14:paraId="26522290" w14:textId="77777777" w:rsidR="004969F5" w:rsidRPr="005B60CD" w:rsidRDefault="004969F5" w:rsidP="004969F5">
            <w:pPr>
              <w:numPr>
                <w:ilvl w:val="0"/>
                <w:numId w:val="36"/>
              </w:numPr>
              <w:spacing w:line="276" w:lineRule="auto"/>
              <w:contextualSpacing/>
              <w:rPr>
                <w:b/>
                <w:bCs/>
              </w:rPr>
            </w:pPr>
            <w:r w:rsidRPr="005B60CD">
              <w:t xml:space="preserve">Кредит для аналізу зразку </w:t>
            </w:r>
            <w:proofErr w:type="spellStart"/>
            <w:r w:rsidRPr="005B60CD">
              <w:t>Franklin</w:t>
            </w:r>
            <w:proofErr w:type="spellEnd"/>
            <w:r w:rsidRPr="005B60CD">
              <w:t xml:space="preserve"> </w:t>
            </w:r>
            <w:proofErr w:type="spellStart"/>
            <w:r w:rsidRPr="005B60CD">
              <w:t>Postpaid</w:t>
            </w:r>
            <w:proofErr w:type="spellEnd"/>
            <w:r w:rsidRPr="005B60CD">
              <w:t xml:space="preserve"> </w:t>
            </w:r>
            <w:proofErr w:type="spellStart"/>
            <w:r w:rsidRPr="005B60CD">
              <w:t>Analysis</w:t>
            </w:r>
            <w:proofErr w:type="spellEnd"/>
            <w:r w:rsidRPr="005B60CD">
              <w:t xml:space="preserve"> </w:t>
            </w:r>
            <w:proofErr w:type="spellStart"/>
            <w:r w:rsidRPr="005B60CD">
              <w:t>Credits</w:t>
            </w:r>
            <w:proofErr w:type="spellEnd"/>
            <w:r w:rsidRPr="005B60CD">
              <w:t xml:space="preserve"> 972011 або </w:t>
            </w:r>
            <w:proofErr w:type="spellStart"/>
            <w:r w:rsidRPr="005B60CD">
              <w:t>евівалент</w:t>
            </w:r>
            <w:proofErr w:type="spellEnd"/>
            <w:r w:rsidRPr="005B60CD">
              <w:t>, в кількості 100шт.</w:t>
            </w:r>
          </w:p>
          <w:p w14:paraId="3804C335" w14:textId="77777777" w:rsidR="004969F5" w:rsidRPr="005B60CD" w:rsidRDefault="004969F5" w:rsidP="0047321B">
            <w:pPr>
              <w:spacing w:line="276" w:lineRule="auto"/>
              <w:rPr>
                <w:b/>
                <w:bCs/>
              </w:rPr>
            </w:pPr>
            <w:r w:rsidRPr="005B60CD">
              <w:rPr>
                <w:b/>
                <w:bCs/>
              </w:rPr>
              <w:t>Технічне завдання:</w:t>
            </w:r>
          </w:p>
          <w:p w14:paraId="29C19A61" w14:textId="77777777" w:rsidR="004969F5" w:rsidRDefault="004969F5" w:rsidP="0047321B">
            <w:pPr>
              <w:ind w:left="420"/>
              <w:contextualSpacing/>
              <w:jc w:val="both"/>
            </w:pPr>
            <w:r>
              <w:t xml:space="preserve">1. </w:t>
            </w:r>
            <w:r w:rsidRPr="005B60CD">
              <w:t>Усі посилання в тендерній документації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14:paraId="034C31B7" w14:textId="77777777" w:rsidR="004969F5" w:rsidRPr="005B60CD" w:rsidRDefault="004969F5" w:rsidP="0047321B">
            <w:pPr>
              <w:ind w:left="420"/>
              <w:contextualSpacing/>
              <w:jc w:val="both"/>
            </w:pPr>
          </w:p>
          <w:p w14:paraId="1D1BEEFB" w14:textId="77777777" w:rsidR="004969F5" w:rsidRPr="005B60CD" w:rsidRDefault="004969F5" w:rsidP="0047321B">
            <w:pPr>
              <w:jc w:val="both"/>
              <w:rPr>
                <w:b/>
                <w:bCs/>
                <w:lang w:val="ru-RU"/>
              </w:rPr>
            </w:pPr>
            <w:proofErr w:type="spellStart"/>
            <w:r w:rsidRPr="005B60CD">
              <w:rPr>
                <w:b/>
                <w:bCs/>
                <w:lang w:val="ru-RU"/>
              </w:rPr>
              <w:t>Технічні</w:t>
            </w:r>
            <w:proofErr w:type="spellEnd"/>
            <w:r w:rsidRPr="005B60CD">
              <w:rPr>
                <w:b/>
                <w:bCs/>
                <w:lang w:val="ru-RU"/>
              </w:rPr>
              <w:t xml:space="preserve"> </w:t>
            </w:r>
            <w:proofErr w:type="spellStart"/>
            <w:r w:rsidRPr="005B60CD">
              <w:rPr>
                <w:b/>
                <w:bCs/>
                <w:lang w:val="ru-RU"/>
              </w:rPr>
              <w:t>вимоги</w:t>
            </w:r>
            <w:proofErr w:type="spellEnd"/>
            <w:r w:rsidRPr="005B60CD">
              <w:rPr>
                <w:b/>
                <w:bCs/>
                <w:lang w:val="ru-RU"/>
              </w:rPr>
              <w:t>:</w:t>
            </w:r>
          </w:p>
          <w:p w14:paraId="53ABE12F" w14:textId="77777777" w:rsidR="004969F5" w:rsidRPr="005B60CD" w:rsidRDefault="004969F5" w:rsidP="0047321B">
            <w:pPr>
              <w:jc w:val="both"/>
              <w:rPr>
                <w:b/>
                <w:bCs/>
                <w:lang w:val="ru-RU"/>
              </w:rPr>
            </w:pPr>
          </w:p>
          <w:p w14:paraId="03EABC4B" w14:textId="77777777" w:rsidR="004969F5" w:rsidRPr="005B60CD" w:rsidRDefault="004969F5" w:rsidP="0047321B">
            <w:pPr>
              <w:ind w:left="420"/>
              <w:contextualSpacing/>
              <w:jc w:val="both"/>
              <w:rPr>
                <w:lang w:val="ru-RU"/>
              </w:rPr>
            </w:pPr>
            <w:r>
              <w:t xml:space="preserve">1. </w:t>
            </w:r>
            <w:r w:rsidRPr="005B60CD">
              <w:t>Виконання послуги здійснюється протягом 20 днів з моменту отримання постачальником заявки від покупця.</w:t>
            </w:r>
          </w:p>
          <w:p w14:paraId="5F463228" w14:textId="77777777" w:rsidR="004969F5" w:rsidRPr="005B60CD" w:rsidRDefault="004969F5" w:rsidP="0047321B">
            <w:pPr>
              <w:ind w:left="420"/>
              <w:contextualSpacing/>
              <w:jc w:val="both"/>
              <w:rPr>
                <w:lang w:val="ru-RU"/>
              </w:rPr>
            </w:pPr>
            <w:r>
              <w:t xml:space="preserve">2. </w:t>
            </w:r>
            <w:r w:rsidRPr="005B60CD">
              <w:t xml:space="preserve">Відповідність технічним характеристикам підтверджується інструкцією або технічним описом, або іншим технічним документом. </w:t>
            </w:r>
          </w:p>
          <w:p w14:paraId="22FF091E" w14:textId="77777777" w:rsidR="004969F5" w:rsidRPr="005B60CD" w:rsidRDefault="004969F5" w:rsidP="0047321B">
            <w:pPr>
              <w:spacing w:line="276" w:lineRule="auto"/>
              <w:contextualSpacing/>
              <w:rPr>
                <w:b/>
                <w:bCs/>
                <w:u w:val="single"/>
              </w:rPr>
            </w:pPr>
          </w:p>
        </w:tc>
        <w:tc>
          <w:tcPr>
            <w:tcW w:w="2308" w:type="dxa"/>
          </w:tcPr>
          <w:p w14:paraId="2D0D7C8C" w14:textId="77777777" w:rsidR="004969F5" w:rsidRPr="005B60CD" w:rsidRDefault="004969F5" w:rsidP="0047321B">
            <w:pPr>
              <w:spacing w:line="276" w:lineRule="auto"/>
              <w:jc w:val="center"/>
              <w:rPr>
                <w:b/>
              </w:rPr>
            </w:pPr>
          </w:p>
        </w:tc>
      </w:tr>
      <w:tr w:rsidR="004969F5" w:rsidRPr="005B60CD" w14:paraId="38BA3047" w14:textId="77777777" w:rsidTr="004969F5">
        <w:trPr>
          <w:trHeight w:val="319"/>
        </w:trPr>
        <w:tc>
          <w:tcPr>
            <w:tcW w:w="7623" w:type="dxa"/>
          </w:tcPr>
          <w:p w14:paraId="5023B1B4" w14:textId="77777777" w:rsidR="004969F5" w:rsidRPr="005B60CD" w:rsidRDefault="004969F5" w:rsidP="0047321B">
            <w:pPr>
              <w:rPr>
                <w:bCs/>
                <w:color w:val="000000"/>
              </w:rPr>
            </w:pPr>
          </w:p>
        </w:tc>
        <w:tc>
          <w:tcPr>
            <w:tcW w:w="2308" w:type="dxa"/>
          </w:tcPr>
          <w:p w14:paraId="04652E9F" w14:textId="77777777" w:rsidR="004969F5" w:rsidRPr="005B60CD" w:rsidRDefault="004969F5" w:rsidP="0047321B">
            <w:pPr>
              <w:spacing w:line="276" w:lineRule="auto"/>
              <w:jc w:val="center"/>
              <w:rPr>
                <w:b/>
              </w:rPr>
            </w:pPr>
          </w:p>
        </w:tc>
      </w:tr>
    </w:tbl>
    <w:p w14:paraId="59DAD534" w14:textId="77777777" w:rsidR="004969F5" w:rsidRPr="00A96243" w:rsidRDefault="004969F5" w:rsidP="004969F5">
      <w:pPr>
        <w:widowControl w:val="0"/>
        <w:shd w:val="clear" w:color="auto" w:fill="FFFFFF"/>
        <w:jc w:val="both"/>
        <w:rPr>
          <w:b/>
          <w:color w:val="222222"/>
          <w:u w:val="single"/>
        </w:rPr>
      </w:pPr>
    </w:p>
    <w:p w14:paraId="3B321BAF" w14:textId="77777777" w:rsidR="004969F5" w:rsidRPr="00A96243" w:rsidRDefault="004969F5" w:rsidP="004969F5">
      <w:pPr>
        <w:widowControl w:val="0"/>
        <w:shd w:val="clear" w:color="auto" w:fill="FFFFFF"/>
        <w:jc w:val="both"/>
        <w:rPr>
          <w:color w:val="222222"/>
        </w:rPr>
      </w:pPr>
      <w:r w:rsidRPr="00A96243">
        <w:rPr>
          <w:b/>
          <w:color w:val="222222"/>
          <w:u w:val="single"/>
        </w:rPr>
        <w:t>Термін надання послуг</w:t>
      </w:r>
      <w:r w:rsidRPr="00A96243">
        <w:rPr>
          <w:b/>
          <w:color w:val="222222"/>
        </w:rPr>
        <w:t>:</w:t>
      </w:r>
      <w:r w:rsidRPr="00A96243">
        <w:rPr>
          <w:color w:val="222222"/>
        </w:rPr>
        <w:t xml:space="preserve"> з моменту підписання договору та скріплення печатками (за наявності) – </w:t>
      </w:r>
      <w:r w:rsidRPr="00A96243">
        <w:rPr>
          <w:b/>
          <w:color w:val="222222"/>
        </w:rPr>
        <w:t xml:space="preserve">по </w:t>
      </w:r>
      <w:r>
        <w:rPr>
          <w:b/>
          <w:color w:val="222222"/>
        </w:rPr>
        <w:t>31.12.2026</w:t>
      </w:r>
      <w:r w:rsidRPr="00A96243">
        <w:rPr>
          <w:b/>
          <w:color w:val="222222"/>
        </w:rPr>
        <w:t xml:space="preserve"> року</w:t>
      </w:r>
      <w:r>
        <w:rPr>
          <w:b/>
          <w:color w:val="222222"/>
        </w:rPr>
        <w:t>.</w:t>
      </w:r>
    </w:p>
    <w:p w14:paraId="0C5CE2B7" w14:textId="77777777" w:rsidR="004969F5" w:rsidRPr="00A96243" w:rsidRDefault="004969F5" w:rsidP="004969F5">
      <w:pPr>
        <w:widowControl w:val="0"/>
        <w:jc w:val="both"/>
        <w:rPr>
          <w:color w:val="000000"/>
        </w:rPr>
      </w:pPr>
    </w:p>
    <w:p w14:paraId="62724DA9" w14:textId="77777777" w:rsidR="004969F5" w:rsidRDefault="004969F5" w:rsidP="004969F5"/>
    <w:p w14:paraId="561A3BA9" w14:textId="77777777" w:rsidR="004969F5" w:rsidRDefault="004969F5" w:rsidP="004969F5"/>
    <w:p w14:paraId="476FB87B" w14:textId="77777777" w:rsidR="004969F5" w:rsidRDefault="004969F5" w:rsidP="004969F5"/>
    <w:p w14:paraId="24052AB7" w14:textId="77777777" w:rsidR="004969F5" w:rsidRDefault="004969F5" w:rsidP="004969F5"/>
    <w:p w14:paraId="754474C3" w14:textId="77777777" w:rsidR="004969F5" w:rsidRDefault="004969F5" w:rsidP="004969F5"/>
    <w:p w14:paraId="5E404537" w14:textId="77777777" w:rsidR="004969F5" w:rsidRDefault="004969F5" w:rsidP="004969F5"/>
    <w:p w14:paraId="3B8445CA" w14:textId="0CDCDC86" w:rsidR="00CF0D2D" w:rsidRPr="008B6E4E" w:rsidRDefault="00CF0D2D" w:rsidP="00BC57D2">
      <w:pPr>
        <w:jc w:val="center"/>
        <w:outlineLvl w:val="0"/>
        <w:rPr>
          <w:b/>
        </w:rPr>
      </w:pPr>
      <w:bookmarkStart w:id="0" w:name="_GoBack"/>
      <w:bookmarkEnd w:id="0"/>
    </w:p>
    <w:sectPr w:rsidR="00CF0D2D" w:rsidRPr="008B6E4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7FE53F4"/>
    <w:multiLevelType w:val="multilevel"/>
    <w:tmpl w:val="F64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4AB4"/>
    <w:multiLevelType w:val="hybridMultilevel"/>
    <w:tmpl w:val="60C6E2A2"/>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FB005A7"/>
    <w:multiLevelType w:val="hybridMultilevel"/>
    <w:tmpl w:val="F4B6AB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67616C"/>
    <w:multiLevelType w:val="multilevel"/>
    <w:tmpl w:val="704C7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C1BC3"/>
    <w:multiLevelType w:val="multilevel"/>
    <w:tmpl w:val="5992D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A4E7A"/>
    <w:multiLevelType w:val="hybridMultilevel"/>
    <w:tmpl w:val="E3D62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5E7393"/>
    <w:multiLevelType w:val="hybridMultilevel"/>
    <w:tmpl w:val="5EDA4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5F58EC"/>
    <w:multiLevelType w:val="multilevel"/>
    <w:tmpl w:val="5FCA4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D77E0"/>
    <w:multiLevelType w:val="hybridMultilevel"/>
    <w:tmpl w:val="4656D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18A5884"/>
    <w:multiLevelType w:val="hybridMultilevel"/>
    <w:tmpl w:val="D046C2FC"/>
    <w:lvl w:ilvl="0" w:tplc="2186886A">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2" w15:restartNumberingAfterBreak="0">
    <w:nsid w:val="267C262A"/>
    <w:multiLevelType w:val="hybridMultilevel"/>
    <w:tmpl w:val="63C4E8BC"/>
    <w:lvl w:ilvl="0" w:tplc="10ECA7A2">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92C3605"/>
    <w:multiLevelType w:val="multilevel"/>
    <w:tmpl w:val="2A4896B2"/>
    <w:lvl w:ilvl="0">
      <w:start w:val="4"/>
      <w:numFmt w:val="decimal"/>
      <w:lvlText w:val="%1."/>
      <w:lvlJc w:val="left"/>
      <w:pPr>
        <w:ind w:left="720" w:hanging="360"/>
      </w:pPr>
    </w:lvl>
    <w:lvl w:ilvl="1">
      <w:start w:val="1"/>
      <w:numFmt w:val="bullet"/>
      <w:lvlText w:val="●"/>
      <w:lvlJc w:val="left"/>
      <w:pPr>
        <w:ind w:left="502"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92631E"/>
    <w:multiLevelType w:val="hybridMultilevel"/>
    <w:tmpl w:val="6C0687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D600888"/>
    <w:multiLevelType w:val="multilevel"/>
    <w:tmpl w:val="EEFC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730CD"/>
    <w:multiLevelType w:val="hybridMultilevel"/>
    <w:tmpl w:val="1DB035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318171F4"/>
    <w:multiLevelType w:val="multilevel"/>
    <w:tmpl w:val="C7466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369D9"/>
    <w:multiLevelType w:val="multilevel"/>
    <w:tmpl w:val="D85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4441A"/>
    <w:multiLevelType w:val="hybridMultilevel"/>
    <w:tmpl w:val="A734DF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CE139F0"/>
    <w:multiLevelType w:val="hybridMultilevel"/>
    <w:tmpl w:val="84785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F3045D"/>
    <w:multiLevelType w:val="hybridMultilevel"/>
    <w:tmpl w:val="24ECC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8900C79"/>
    <w:multiLevelType w:val="multilevel"/>
    <w:tmpl w:val="59F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A6B3E"/>
    <w:multiLevelType w:val="hybridMultilevel"/>
    <w:tmpl w:val="12D86E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B2805C5"/>
    <w:multiLevelType w:val="multilevel"/>
    <w:tmpl w:val="311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55C80"/>
    <w:multiLevelType w:val="multilevel"/>
    <w:tmpl w:val="E6C0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54556"/>
    <w:multiLevelType w:val="multilevel"/>
    <w:tmpl w:val="938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275F3"/>
    <w:multiLevelType w:val="multilevel"/>
    <w:tmpl w:val="73F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832CD"/>
    <w:multiLevelType w:val="hybridMultilevel"/>
    <w:tmpl w:val="282686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5F712A5A"/>
    <w:multiLevelType w:val="multilevel"/>
    <w:tmpl w:val="E53A9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37E70"/>
    <w:multiLevelType w:val="multilevel"/>
    <w:tmpl w:val="E682C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4F5CEE"/>
    <w:multiLevelType w:val="multilevel"/>
    <w:tmpl w:val="B2F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83778"/>
    <w:multiLevelType w:val="multilevel"/>
    <w:tmpl w:val="502AB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9B0998"/>
    <w:multiLevelType w:val="hybridMultilevel"/>
    <w:tmpl w:val="3C2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3076B"/>
    <w:multiLevelType w:val="multilevel"/>
    <w:tmpl w:val="A2BED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832E9E"/>
    <w:multiLevelType w:val="hybridMultilevel"/>
    <w:tmpl w:val="41E0A74E"/>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92FF6"/>
    <w:multiLevelType w:val="multilevel"/>
    <w:tmpl w:val="677C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5"/>
  </w:num>
  <w:num w:numId="4">
    <w:abstractNumId w:val="3"/>
  </w:num>
  <w:num w:numId="5">
    <w:abstractNumId w:val="17"/>
  </w:num>
  <w:num w:numId="6">
    <w:abstractNumId w:val="9"/>
  </w:num>
  <w:num w:numId="7">
    <w:abstractNumId w:val="6"/>
  </w:num>
  <w:num w:numId="8">
    <w:abstractNumId w:val="30"/>
  </w:num>
  <w:num w:numId="9">
    <w:abstractNumId w:val="29"/>
  </w:num>
  <w:num w:numId="10">
    <w:abstractNumId w:val="34"/>
  </w:num>
  <w:num w:numId="11">
    <w:abstractNumId w:val="32"/>
  </w:num>
  <w:num w:numId="12">
    <w:abstractNumId w:val="37"/>
  </w:num>
  <w:num w:numId="13">
    <w:abstractNumId w:val="5"/>
  </w:num>
  <w:num w:numId="14">
    <w:abstractNumId w:val="14"/>
  </w:num>
  <w:num w:numId="15">
    <w:abstractNumId w:val="19"/>
  </w:num>
  <w:num w:numId="16">
    <w:abstractNumId w:val="8"/>
  </w:num>
  <w:num w:numId="17">
    <w:abstractNumId w:val="10"/>
  </w:num>
  <w:num w:numId="18">
    <w:abstractNumId w:val="21"/>
  </w:num>
  <w:num w:numId="19">
    <w:abstractNumId w:val="20"/>
  </w:num>
  <w:num w:numId="20">
    <w:abstractNumId w:val="23"/>
  </w:num>
  <w:num w:numId="21">
    <w:abstractNumId w:val="4"/>
  </w:num>
  <w:num w:numId="22">
    <w:abstractNumId w:val="22"/>
  </w:num>
  <w:num w:numId="23">
    <w:abstractNumId w:val="15"/>
  </w:num>
  <w:num w:numId="24">
    <w:abstractNumId w:val="18"/>
  </w:num>
  <w:num w:numId="25">
    <w:abstractNumId w:val="25"/>
  </w:num>
  <w:num w:numId="26">
    <w:abstractNumId w:val="26"/>
  </w:num>
  <w:num w:numId="27">
    <w:abstractNumId w:val="2"/>
  </w:num>
  <w:num w:numId="28">
    <w:abstractNumId w:val="31"/>
  </w:num>
  <w:num w:numId="29">
    <w:abstractNumId w:val="24"/>
  </w:num>
  <w:num w:numId="30">
    <w:abstractNumId w:val="27"/>
  </w:num>
  <w:num w:numId="31">
    <w:abstractNumId w:val="33"/>
  </w:num>
  <w:num w:numId="32">
    <w:abstractNumId w:val="36"/>
  </w:num>
  <w:num w:numId="33">
    <w:abstractNumId w:val="7"/>
  </w:num>
  <w:num w:numId="34">
    <w:abstractNumId w:val="16"/>
  </w:num>
  <w:num w:numId="35">
    <w:abstractNumId w:val="13"/>
  </w:num>
  <w:num w:numId="3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773F1"/>
    <w:rsid w:val="001F36E4"/>
    <w:rsid w:val="00226ADC"/>
    <w:rsid w:val="002E61D3"/>
    <w:rsid w:val="0039040B"/>
    <w:rsid w:val="004432B0"/>
    <w:rsid w:val="004969F5"/>
    <w:rsid w:val="004C00B2"/>
    <w:rsid w:val="004C4509"/>
    <w:rsid w:val="004E3803"/>
    <w:rsid w:val="0052468D"/>
    <w:rsid w:val="00577FCD"/>
    <w:rsid w:val="00595CD8"/>
    <w:rsid w:val="005F5AA5"/>
    <w:rsid w:val="00621FFB"/>
    <w:rsid w:val="006A027D"/>
    <w:rsid w:val="007018F6"/>
    <w:rsid w:val="007E3784"/>
    <w:rsid w:val="008E1B80"/>
    <w:rsid w:val="00965B84"/>
    <w:rsid w:val="00981353"/>
    <w:rsid w:val="00984C0B"/>
    <w:rsid w:val="00A029A4"/>
    <w:rsid w:val="00A053B7"/>
    <w:rsid w:val="00A63421"/>
    <w:rsid w:val="00A94428"/>
    <w:rsid w:val="00AB71C4"/>
    <w:rsid w:val="00AD2904"/>
    <w:rsid w:val="00AE19AF"/>
    <w:rsid w:val="00B41697"/>
    <w:rsid w:val="00BA46E9"/>
    <w:rsid w:val="00BC57D2"/>
    <w:rsid w:val="00C20D96"/>
    <w:rsid w:val="00C40464"/>
    <w:rsid w:val="00C56739"/>
    <w:rsid w:val="00C86040"/>
    <w:rsid w:val="00CE064B"/>
    <w:rsid w:val="00CF0D2D"/>
    <w:rsid w:val="00CF20C1"/>
    <w:rsid w:val="00D21497"/>
    <w:rsid w:val="00D26C43"/>
    <w:rsid w:val="00D86C1C"/>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uiPriority w:val="99"/>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99"/>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CF0D2D"/>
    <w:rPr>
      <w:color w:val="605E5C"/>
      <w:shd w:val="clear" w:color="auto" w:fill="E1DFDD"/>
    </w:rPr>
  </w:style>
  <w:style w:type="paragraph" w:customStyle="1" w:styleId="paragraph">
    <w:name w:val="paragraph"/>
    <w:basedOn w:val="a"/>
    <w:rsid w:val="00BC57D2"/>
    <w:pPr>
      <w:spacing w:before="100" w:beforeAutospacing="1" w:after="100" w:afterAutospacing="1"/>
    </w:pPr>
    <w:rPr>
      <w:u w:color="000000"/>
      <w:lang w:val="ru-RU"/>
    </w:rPr>
  </w:style>
  <w:style w:type="character" w:styleId="aff5">
    <w:name w:val="Placeholder Text"/>
    <w:basedOn w:val="a0"/>
    <w:uiPriority w:val="99"/>
    <w:rsid w:val="00BC57D2"/>
    <w:rPr>
      <w:color w:val="808080"/>
    </w:rPr>
  </w:style>
  <w:style w:type="character" w:customStyle="1" w:styleId="normaltextrun">
    <w:name w:val="normaltextrun"/>
    <w:basedOn w:val="a0"/>
    <w:rsid w:val="00BC57D2"/>
  </w:style>
  <w:style w:type="character" w:customStyle="1" w:styleId="eop">
    <w:name w:val="eop"/>
    <w:basedOn w:val="a0"/>
    <w:rsid w:val="00BC57D2"/>
  </w:style>
  <w:style w:type="character" w:customStyle="1" w:styleId="scxw28441480">
    <w:name w:val="scxw28441480"/>
    <w:basedOn w:val="a0"/>
    <w:rsid w:val="00BC57D2"/>
  </w:style>
  <w:style w:type="character" w:customStyle="1" w:styleId="scxw167901784">
    <w:name w:val="scxw167901784"/>
    <w:basedOn w:val="a0"/>
    <w:rsid w:val="00BC57D2"/>
  </w:style>
  <w:style w:type="character" w:customStyle="1" w:styleId="wacimagecontainer">
    <w:name w:val="wacimagecontainer"/>
    <w:basedOn w:val="a0"/>
    <w:rsid w:val="00BC57D2"/>
  </w:style>
  <w:style w:type="paragraph" w:customStyle="1" w:styleId="211">
    <w:name w:val="Основной текст 21"/>
    <w:rsid w:val="00BC57D2"/>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val="ru-RU" w:eastAsia="ja-JP"/>
    </w:rPr>
  </w:style>
  <w:style w:type="paragraph" w:styleId="aff6">
    <w:name w:val="Revision"/>
    <w:hidden/>
    <w:uiPriority w:val="99"/>
    <w:semiHidden/>
    <w:rsid w:val="00BC57D2"/>
    <w:pPr>
      <w:spacing w:after="0" w:line="240" w:lineRule="auto"/>
    </w:pPr>
    <w:rPr>
      <w:rFonts w:ascii="Times New Roman" w:eastAsia="Arial Unicode MS" w:hAnsi="Times New Roman" w:cs="Times New Roman"/>
      <w:sz w:val="24"/>
      <w:szCs w:val="24"/>
      <w:lang w:val="ru-RU" w:eastAsia="ru-RU"/>
    </w:rPr>
  </w:style>
  <w:style w:type="table" w:customStyle="1" w:styleId="8">
    <w:name w:val="Сітка таблиці8"/>
    <w:basedOn w:val="a1"/>
    <w:next w:val="a7"/>
    <w:uiPriority w:val="39"/>
    <w:rsid w:val="004969F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2455</Words>
  <Characters>1400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44</cp:revision>
  <cp:lastPrinted>2025-01-20T07:48:00Z</cp:lastPrinted>
  <dcterms:created xsi:type="dcterms:W3CDTF">2025-01-30T07:30:00Z</dcterms:created>
  <dcterms:modified xsi:type="dcterms:W3CDTF">2026-06-29T12:53:00Z</dcterms:modified>
</cp:coreProperties>
</file>