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0048FE2B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0E0808" w:rsidRPr="000E0808">
        <w:rPr>
          <w:rFonts w:ascii="Times New Roman" w:hAnsi="Times New Roman" w:cs="Times New Roman"/>
          <w:b/>
          <w:sz w:val="28"/>
          <w:szCs w:val="28"/>
        </w:rPr>
        <w:t>Витратні матеріали для відділення дитячої урології (</w:t>
      </w:r>
      <w:proofErr w:type="spellStart"/>
      <w:r w:rsidR="000E0808" w:rsidRPr="000E0808">
        <w:rPr>
          <w:rFonts w:ascii="Times New Roman" w:hAnsi="Times New Roman" w:cs="Times New Roman"/>
          <w:b/>
          <w:sz w:val="28"/>
          <w:szCs w:val="28"/>
        </w:rPr>
        <w:t>Уретальні</w:t>
      </w:r>
      <w:proofErr w:type="spellEnd"/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808" w:rsidRPr="000E0808">
        <w:rPr>
          <w:rFonts w:ascii="Times New Roman" w:hAnsi="Times New Roman" w:cs="Times New Roman"/>
          <w:b/>
          <w:sz w:val="28"/>
          <w:szCs w:val="28"/>
        </w:rPr>
        <w:t>стенти</w:t>
      </w:r>
      <w:proofErr w:type="spellEnd"/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0E0808" w:rsidRPr="000E0808">
        <w:rPr>
          <w:rFonts w:ascii="Times New Roman" w:hAnsi="Times New Roman" w:cs="Times New Roman"/>
          <w:b/>
          <w:sz w:val="28"/>
          <w:szCs w:val="28"/>
        </w:rPr>
        <w:t>нефростомічний</w:t>
      </w:r>
      <w:proofErr w:type="spellEnd"/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катетер) (код ДК 021:2015 – 33140000-3 - Медичні матеріали)</w:t>
      </w:r>
    </w:p>
    <w:p w14:paraId="67CB1E2E" w14:textId="77777777" w:rsidR="00EF2EA2" w:rsidRDefault="00EF2EA2" w:rsidP="00EF2EA2"/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06"/>
        <w:gridCol w:w="2860"/>
        <w:gridCol w:w="2850"/>
        <w:gridCol w:w="1303"/>
      </w:tblGrid>
      <w:tr w:rsidR="00EF2EA2" w:rsidRPr="00943363" w14:paraId="14172F5B" w14:textId="77777777" w:rsidTr="006666A0">
        <w:trPr>
          <w:trHeight w:val="436"/>
          <w:jc w:val="center"/>
        </w:trPr>
        <w:tc>
          <w:tcPr>
            <w:tcW w:w="541" w:type="dxa"/>
          </w:tcPr>
          <w:p w14:paraId="7651C417" w14:textId="77777777" w:rsidR="00EF2EA2" w:rsidRPr="00943363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573" w:type="dxa"/>
            <w:vAlign w:val="center"/>
            <w:hideMark/>
          </w:tcPr>
          <w:p w14:paraId="39DCB073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товару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 плану Замовника</w:t>
            </w:r>
          </w:p>
        </w:tc>
        <w:tc>
          <w:tcPr>
            <w:tcW w:w="2397" w:type="dxa"/>
            <w:vAlign w:val="center"/>
            <w:hideMark/>
          </w:tcPr>
          <w:p w14:paraId="6269FCA0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НК 024:2023</w:t>
            </w:r>
          </w:p>
        </w:tc>
        <w:tc>
          <w:tcPr>
            <w:tcW w:w="3131" w:type="dxa"/>
            <w:vAlign w:val="center"/>
          </w:tcPr>
          <w:p w14:paraId="170D5F98" w14:textId="77777777" w:rsidR="00EF2EA2" w:rsidRPr="00C871D9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71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НК </w:t>
            </w: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031:2024</w:t>
            </w:r>
          </w:p>
        </w:tc>
        <w:tc>
          <w:tcPr>
            <w:tcW w:w="1305" w:type="dxa"/>
            <w:vAlign w:val="center"/>
          </w:tcPr>
          <w:p w14:paraId="7718F90C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ількість</w:t>
            </w:r>
            <w:proofErr w:type="spellEnd"/>
          </w:p>
        </w:tc>
      </w:tr>
      <w:tr w:rsidR="00EF2EA2" w:rsidRPr="00AA604A" w14:paraId="027B09C7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58808269" w14:textId="77777777" w:rsidR="00EF2EA2" w:rsidRPr="00943363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3" w:type="dxa"/>
            <w:vAlign w:val="center"/>
          </w:tcPr>
          <w:p w14:paraId="5517D381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Набір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для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пункційноі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нефростомії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по методу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Сельдінгера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fr8</w:t>
            </w:r>
          </w:p>
        </w:tc>
        <w:tc>
          <w:tcPr>
            <w:tcW w:w="2397" w:type="dxa"/>
            <w:vAlign w:val="center"/>
          </w:tcPr>
          <w:p w14:paraId="0E19E225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10735 </w:t>
            </w:r>
            <w:proofErr w:type="spellStart"/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Нефростомічний</w:t>
            </w:r>
            <w:proofErr w:type="spellEnd"/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катетер</w:t>
            </w:r>
          </w:p>
        </w:tc>
        <w:tc>
          <w:tcPr>
            <w:tcW w:w="3131" w:type="dxa"/>
            <w:vAlign w:val="center"/>
          </w:tcPr>
          <w:p w14:paraId="12055699" w14:textId="77777777" w:rsidR="00EF2EA2" w:rsidRPr="00AA604A" w:rsidRDefault="00EF2EA2" w:rsidP="006666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U040202</w:t>
            </w:r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НАБОРИ ДЛЯ НЕФРО</w:t>
            </w:r>
            <w:bookmarkStart w:id="1" w:name="_GoBack"/>
            <w:bookmarkEnd w:id="1"/>
            <w:r w:rsidRPr="00AA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СТОМІЇ, МЕТОД СЕЛЬДІНГЕРА</w:t>
            </w:r>
          </w:p>
        </w:tc>
        <w:tc>
          <w:tcPr>
            <w:tcW w:w="1305" w:type="dxa"/>
            <w:vAlign w:val="center"/>
          </w:tcPr>
          <w:p w14:paraId="71D7E50D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A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2EA2" w:rsidRPr="00AA604A" w14:paraId="3731D88C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4532DA0E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3" w:type="dxa"/>
            <w:vAlign w:val="center"/>
          </w:tcPr>
          <w:p w14:paraId="4AE41EDC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24 см</w:t>
            </w:r>
          </w:p>
        </w:tc>
        <w:tc>
          <w:tcPr>
            <w:tcW w:w="2397" w:type="dxa"/>
            <w:vAlign w:val="center"/>
          </w:tcPr>
          <w:p w14:paraId="2C80AB40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5F367B1C" w14:textId="77777777" w:rsidR="00EF2EA2" w:rsidRPr="00AA604A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481DB83D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:rsidRPr="00AA604A" w14:paraId="14527380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0E4D4B47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3" w:type="dxa"/>
            <w:vAlign w:val="center"/>
          </w:tcPr>
          <w:p w14:paraId="464DA328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довжина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20)</w:t>
            </w:r>
          </w:p>
        </w:tc>
        <w:tc>
          <w:tcPr>
            <w:tcW w:w="2397" w:type="dxa"/>
            <w:vAlign w:val="center"/>
          </w:tcPr>
          <w:p w14:paraId="2B79107F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5E7A9F3E" w14:textId="77777777" w:rsidR="00EF2EA2" w:rsidRPr="00AA604A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213BF5D3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:rsidRPr="00AA604A" w14:paraId="3A913932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3A25B2CB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3" w:type="dxa"/>
            <w:vAlign w:val="center"/>
          </w:tcPr>
          <w:p w14:paraId="5348DF8D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12 см</w:t>
            </w:r>
          </w:p>
        </w:tc>
        <w:tc>
          <w:tcPr>
            <w:tcW w:w="2397" w:type="dxa"/>
            <w:vAlign w:val="center"/>
          </w:tcPr>
          <w:p w14:paraId="2DB4FAD7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1307E30C" w14:textId="77777777" w:rsidR="00EF2EA2" w:rsidRPr="00AA604A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309E0E24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:rsidRPr="00AA604A" w14:paraId="7A68DA52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704BFCE4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vAlign w:val="center"/>
          </w:tcPr>
          <w:p w14:paraId="2E31ACD7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22 см</w:t>
            </w:r>
          </w:p>
        </w:tc>
        <w:tc>
          <w:tcPr>
            <w:tcW w:w="2397" w:type="dxa"/>
            <w:vAlign w:val="center"/>
          </w:tcPr>
          <w:p w14:paraId="42C0913E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7090C8E5" w14:textId="77777777" w:rsidR="00EF2EA2" w:rsidRPr="00AA604A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7D77DD11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:rsidRPr="00AA604A" w14:paraId="7F34532F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238C7374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73" w:type="dxa"/>
            <w:vAlign w:val="center"/>
          </w:tcPr>
          <w:p w14:paraId="5E35DFC3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довжина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14 см</w:t>
            </w:r>
          </w:p>
        </w:tc>
        <w:tc>
          <w:tcPr>
            <w:tcW w:w="2397" w:type="dxa"/>
            <w:vAlign w:val="center"/>
          </w:tcPr>
          <w:p w14:paraId="53D625A3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596ECA56" w14:textId="77777777" w:rsidR="00EF2EA2" w:rsidRPr="00AA604A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0A552335" w14:textId="77777777" w:rsidR="00EF2EA2" w:rsidRPr="00AA604A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:rsidRPr="00F07243" w14:paraId="7F615BE5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1568355A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vAlign w:val="center"/>
          </w:tcPr>
          <w:p w14:paraId="59D37A29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сн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довжина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16 см</w:t>
            </w:r>
          </w:p>
        </w:tc>
        <w:tc>
          <w:tcPr>
            <w:tcW w:w="2397" w:type="dxa"/>
            <w:vAlign w:val="center"/>
          </w:tcPr>
          <w:p w14:paraId="21026724" w14:textId="77777777" w:rsidR="00EF2EA2" w:rsidRPr="00C77C1B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743B874C" w14:textId="77777777" w:rsidR="00EF2EA2" w:rsidRPr="00C77C1B" w:rsidRDefault="00EF2EA2" w:rsidP="006666A0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2AC269CB" w14:textId="77777777" w:rsidR="00EF2EA2" w:rsidRPr="00F0724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2EA2" w14:paraId="7C3CE15B" w14:textId="77777777" w:rsidTr="006666A0">
        <w:trPr>
          <w:trHeight w:val="750"/>
          <w:jc w:val="center"/>
        </w:trPr>
        <w:tc>
          <w:tcPr>
            <w:tcW w:w="541" w:type="dxa"/>
            <w:vAlign w:val="center"/>
          </w:tcPr>
          <w:p w14:paraId="550F6783" w14:textId="77777777" w:rsidR="00EF2EA2" w:rsidRPr="00C77C1B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vAlign w:val="center"/>
          </w:tcPr>
          <w:p w14:paraId="4B02E83A" w14:textId="77777777" w:rsidR="00EF2EA2" w:rsidRPr="00044777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Стент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уретеральний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подвійний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свинний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хвостик з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відкрити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дистальним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кінцем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4,7ch </w:t>
            </w:r>
            <w:proofErr w:type="spellStart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>довжина</w:t>
            </w:r>
            <w:proofErr w:type="spellEnd"/>
            <w:r w:rsidRPr="00044777">
              <w:rPr>
                <w:rFonts w:ascii="Times New Roman" w:hAnsi="Times New Roman" w:cs="Times New Roman"/>
                <w:color w:val="000000"/>
                <w:szCs w:val="24"/>
              </w:rPr>
              <w:t xml:space="preserve"> 18 см</w:t>
            </w:r>
          </w:p>
        </w:tc>
        <w:tc>
          <w:tcPr>
            <w:tcW w:w="2397" w:type="dxa"/>
            <w:vAlign w:val="center"/>
          </w:tcPr>
          <w:p w14:paraId="4993D887" w14:textId="77777777" w:rsidR="00EF2EA2" w:rsidRPr="00C77C1B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61177 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proofErr w:type="gram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прохідності</w:t>
            </w:r>
            <w:proofErr w:type="spellEnd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сечоводу</w:t>
            </w:r>
            <w:proofErr w:type="spellEnd"/>
          </w:p>
        </w:tc>
        <w:tc>
          <w:tcPr>
            <w:tcW w:w="3131" w:type="dxa"/>
            <w:vAlign w:val="center"/>
          </w:tcPr>
          <w:p w14:paraId="47E69C9E" w14:textId="77777777" w:rsidR="00EF2EA2" w:rsidRPr="00C77C1B" w:rsidRDefault="00EF2EA2" w:rsidP="006666A0">
            <w:pPr>
              <w:pStyle w:val="a8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U020302 СЕЧОВІДНІ СТЕНТИ З ПЕТЛЕЮ НА ОБОХ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17">
              <w:rPr>
                <w:rFonts w:ascii="Times New Roman" w:hAnsi="Times New Roman" w:cs="Times New Roman"/>
                <w:sz w:val="24"/>
                <w:szCs w:val="24"/>
              </w:rPr>
              <w:t>КІНЦЯХ</w:t>
            </w:r>
          </w:p>
        </w:tc>
        <w:tc>
          <w:tcPr>
            <w:tcW w:w="1305" w:type="dxa"/>
            <w:vAlign w:val="center"/>
          </w:tcPr>
          <w:p w14:paraId="7513309D" w14:textId="77777777" w:rsidR="00EF2EA2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69E56AC" w14:textId="77777777" w:rsidR="00EF2EA2" w:rsidRDefault="00EF2EA2" w:rsidP="00EF2EA2"/>
    <w:p w14:paraId="436FCCA4" w14:textId="77777777" w:rsidR="00EF2EA2" w:rsidRPr="00770D17" w:rsidRDefault="00EF2EA2" w:rsidP="00EF2EA2">
      <w:pPr>
        <w:pStyle w:val="a8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пункційноі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нефростомії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по методу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Сельдінгера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fr8 </w:t>
      </w:r>
      <w:r w:rsidRPr="00770D17">
        <w:rPr>
          <w:rFonts w:ascii="Times New Roman" w:hAnsi="Times New Roman" w:cs="Times New Roman"/>
          <w:color w:val="000000"/>
          <w:sz w:val="24"/>
          <w:szCs w:val="24"/>
        </w:rPr>
        <w:t xml:space="preserve">(10735 </w:t>
      </w:r>
      <w:proofErr w:type="spellStart"/>
      <w:r w:rsidRPr="00770D17">
        <w:rPr>
          <w:rFonts w:ascii="Times New Roman" w:hAnsi="Times New Roman" w:cs="Times New Roman"/>
          <w:color w:val="000000"/>
          <w:sz w:val="24"/>
          <w:szCs w:val="24"/>
        </w:rPr>
        <w:t>Нефростомічний</w:t>
      </w:r>
      <w:proofErr w:type="spellEnd"/>
      <w:r w:rsidRPr="00770D17">
        <w:rPr>
          <w:rFonts w:ascii="Times New Roman" w:hAnsi="Times New Roman" w:cs="Times New Roman"/>
          <w:color w:val="000000"/>
          <w:sz w:val="24"/>
          <w:szCs w:val="24"/>
        </w:rPr>
        <w:t xml:space="preserve"> катетер, U040299 КАТЕТЕРИ ДЛЯ НЕФРОСТОМІЇ</w:t>
      </w:r>
      <w:r w:rsidRPr="00770D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70D17">
        <w:rPr>
          <w:rFonts w:ascii="Times New Roman" w:hAnsi="Times New Roman" w:cs="Times New Roman"/>
          <w:color w:val="000000"/>
          <w:sz w:val="24"/>
          <w:szCs w:val="24"/>
        </w:rPr>
        <w:t>ПРИСТРОЇ ДЛЯ ПЕРКУТАННОЇ</w:t>
      </w:r>
      <w:r w:rsidRPr="00770D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70D17">
        <w:rPr>
          <w:rFonts w:ascii="Times New Roman" w:hAnsi="Times New Roman" w:cs="Times New Roman"/>
          <w:color w:val="000000"/>
          <w:sz w:val="24"/>
          <w:szCs w:val="24"/>
        </w:rPr>
        <w:t>НЕФРОСТОМІЇ – ІНШЕ</w:t>
      </w:r>
      <w:r w:rsidRPr="00770D17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9653" w:type="dxa"/>
        <w:tblLook w:val="04A0" w:firstRow="1" w:lastRow="0" w:firstColumn="1" w:lastColumn="0" w:noHBand="0" w:noVBand="1"/>
      </w:tblPr>
      <w:tblGrid>
        <w:gridCol w:w="1020"/>
        <w:gridCol w:w="3795"/>
        <w:gridCol w:w="3118"/>
        <w:gridCol w:w="1720"/>
      </w:tblGrid>
      <w:tr w:rsidR="00EF2EA2" w:rsidRPr="00770D17" w14:paraId="64560DEC" w14:textId="77777777" w:rsidTr="00072EB9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659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C4D9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B5F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AA6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6880366E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9E6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9D5D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катетера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C657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Pigtail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AB02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48100D24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F779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AC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Діаметр катетера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67A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08A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1DC3B1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435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2ED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катетера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8974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C73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2CE7E4D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A37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478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Пункційна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E713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1,3 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A65B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17E2190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E7B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7A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пункційної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484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424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7D0F515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E25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3A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Голка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Chiba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546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1337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4411656B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0C5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E3F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8B6A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581F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464A22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0A3" w14:textId="77777777" w:rsidR="00EF2EA2" w:rsidRPr="00770D17" w:rsidRDefault="00EF2EA2" w:rsidP="00EF2EA2">
            <w:pPr>
              <w:pStyle w:val="a8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A41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F42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75D7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3ADA57C" w14:textId="77777777" w:rsidR="00EF2EA2" w:rsidRDefault="00EF2EA2" w:rsidP="00EF2EA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B24E6D" w14:textId="77777777" w:rsidR="00EF2EA2" w:rsidRPr="00770D17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7F7580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7F7580">
        <w:rPr>
          <w:rFonts w:ascii="Times New Roman" w:hAnsi="Times New Roman" w:cs="Times New Roman"/>
          <w:color w:val="000000"/>
          <w:sz w:val="24"/>
          <w:szCs w:val="24"/>
        </w:rPr>
        <w:t xml:space="preserve"> 24 см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C77C1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C77C1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C7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C7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7C1B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0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D17">
        <w:rPr>
          <w:rFonts w:ascii="Times New Roman" w:hAnsi="Times New Roman" w:cs="Times New Roman"/>
          <w:sz w:val="24"/>
          <w:szCs w:val="24"/>
        </w:rPr>
        <w:t>U020302 СЕЧОВІДНІ СТЕНТИ З ПЕТЛЕЮ НА ОБОХ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D17">
        <w:rPr>
          <w:rFonts w:ascii="Times New Roman" w:hAnsi="Times New Roman" w:cs="Times New Roman"/>
          <w:sz w:val="24"/>
          <w:szCs w:val="24"/>
        </w:rPr>
        <w:t>КІНЦЯХ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53" w:type="dxa"/>
        <w:tblLook w:val="04A0" w:firstRow="1" w:lastRow="0" w:firstColumn="1" w:lastColumn="0" w:noHBand="0" w:noVBand="1"/>
      </w:tblPr>
      <w:tblGrid>
        <w:gridCol w:w="1040"/>
        <w:gridCol w:w="3867"/>
        <w:gridCol w:w="3027"/>
        <w:gridCol w:w="1719"/>
      </w:tblGrid>
      <w:tr w:rsidR="00EF2EA2" w:rsidRPr="00770D17" w14:paraId="762368D3" w14:textId="77777777" w:rsidTr="00072EB9">
        <w:trPr>
          <w:trHeight w:val="5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9744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C94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3CB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E71F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2A3E25DF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5B51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053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A8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808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2475A12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988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AEC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EC5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C4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423C61A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E16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F8A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F42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см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506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677FC06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705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859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96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см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BC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9468C2D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009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D96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FF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B8AD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13B900D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78D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EA1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72F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см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E03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49309082" w14:textId="77777777" w:rsidTr="00072EB9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148" w14:textId="77777777" w:rsidR="00EF2EA2" w:rsidRPr="00E76B10" w:rsidRDefault="00EF2EA2" w:rsidP="00EF2EA2">
            <w:pPr>
              <w:pStyle w:val="a8"/>
              <w:numPr>
                <w:ilvl w:val="0"/>
                <w:numId w:val="10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A9D6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590D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072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7249D92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02BDDBC9" w14:textId="77777777" w:rsidR="00EF2EA2" w:rsidRPr="00E76B10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довжина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20)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653" w:type="dxa"/>
        <w:tblLook w:val="04A0" w:firstRow="1" w:lastRow="0" w:firstColumn="1" w:lastColumn="0" w:noHBand="0" w:noVBand="1"/>
      </w:tblPr>
      <w:tblGrid>
        <w:gridCol w:w="1020"/>
        <w:gridCol w:w="3511"/>
        <w:gridCol w:w="3402"/>
        <w:gridCol w:w="1720"/>
      </w:tblGrid>
      <w:tr w:rsidR="00EF2EA2" w:rsidRPr="00770D17" w14:paraId="7CAFE3E4" w14:textId="77777777" w:rsidTr="00072EB9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5728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8A9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EAE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9766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216E8534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8BF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A3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EEA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00A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952B9B7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0A4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8A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CBD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BE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2CDDF9A8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870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6B0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ADD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C11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3BAF3E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B7F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C5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08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DF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0008A6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17EB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905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6F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C09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48A90CF0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0A5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3E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3F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4CC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73713C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845" w14:textId="77777777" w:rsidR="00EF2EA2" w:rsidRPr="00E76B10" w:rsidRDefault="00EF2EA2" w:rsidP="00EF2EA2">
            <w:pPr>
              <w:pStyle w:val="a8"/>
              <w:numPr>
                <w:ilvl w:val="0"/>
                <w:numId w:val="11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3D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DF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9326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6FDFC73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68CAB518" w14:textId="77777777" w:rsidR="00EF2EA2" w:rsidRPr="00E76B10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12 см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653" w:type="dxa"/>
        <w:tblLook w:val="04A0" w:firstRow="1" w:lastRow="0" w:firstColumn="1" w:lastColumn="0" w:noHBand="0" w:noVBand="1"/>
      </w:tblPr>
      <w:tblGrid>
        <w:gridCol w:w="1020"/>
        <w:gridCol w:w="3511"/>
        <w:gridCol w:w="3402"/>
        <w:gridCol w:w="1720"/>
      </w:tblGrid>
      <w:tr w:rsidR="00EF2EA2" w:rsidRPr="00770D17" w14:paraId="2EE38FF4" w14:textId="77777777" w:rsidTr="00072EB9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A72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A38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868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8EA1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671EF43C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58D5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15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1C3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6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13D87C4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FAE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FA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EC4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F5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2E87FB7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4E7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57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6F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927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95887F0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60D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34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B8F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34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90C498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511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0D7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23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164D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F9A94E1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423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E49D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22F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45F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AA1322D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63AB" w14:textId="77777777" w:rsidR="00EF2EA2" w:rsidRPr="00E76B10" w:rsidRDefault="00EF2EA2" w:rsidP="00EF2EA2">
            <w:pPr>
              <w:pStyle w:val="a8"/>
              <w:numPr>
                <w:ilvl w:val="0"/>
                <w:numId w:val="1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83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56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D78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50EB8AB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30CF6D89" w14:textId="77777777" w:rsidR="00EF2EA2" w:rsidRPr="00E76B10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22 см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653" w:type="dxa"/>
        <w:tblLook w:val="04A0" w:firstRow="1" w:lastRow="0" w:firstColumn="1" w:lastColumn="0" w:noHBand="0" w:noVBand="1"/>
      </w:tblPr>
      <w:tblGrid>
        <w:gridCol w:w="988"/>
        <w:gridCol w:w="3543"/>
        <w:gridCol w:w="3402"/>
        <w:gridCol w:w="1720"/>
      </w:tblGrid>
      <w:tr w:rsidR="00EF2EA2" w:rsidRPr="00770D17" w14:paraId="0BAFAB52" w14:textId="77777777" w:rsidTr="00072EB9">
        <w:trPr>
          <w:trHeight w:val="5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EC73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CCA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5007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A53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0A585D00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221B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644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35B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58B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E95A655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72BB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76C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94E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3F9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A87B672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D01E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C1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96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B6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9D89BC8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F415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3B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6A6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1B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E12E096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11E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2BC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AD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387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11A8511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7C6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2C9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EB9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929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CA32487" w14:textId="77777777" w:rsidTr="00072EB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1B1" w14:textId="77777777" w:rsidR="00EF2EA2" w:rsidRPr="00E76B10" w:rsidRDefault="00EF2EA2" w:rsidP="00EF2EA2">
            <w:pPr>
              <w:pStyle w:val="a8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82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53F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0C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9BD35C4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6AC4A187" w14:textId="77777777" w:rsidR="00EF2EA2" w:rsidRPr="00E76B10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довжина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14 см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512" w:type="dxa"/>
        <w:tblLook w:val="04A0" w:firstRow="1" w:lastRow="0" w:firstColumn="1" w:lastColumn="0" w:noHBand="0" w:noVBand="1"/>
      </w:tblPr>
      <w:tblGrid>
        <w:gridCol w:w="704"/>
        <w:gridCol w:w="3402"/>
        <w:gridCol w:w="3686"/>
        <w:gridCol w:w="1720"/>
      </w:tblGrid>
      <w:tr w:rsidR="00EF2EA2" w:rsidRPr="00770D17" w14:paraId="586CCE35" w14:textId="77777777" w:rsidTr="00072EB9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A5AB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3AB6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0454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47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5A17913D" w14:textId="77777777" w:rsidTr="00072EB9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911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E0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виробу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1DB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набір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уретерального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620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EA2" w:rsidRPr="00770D17" w14:paraId="4DE295AE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42D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C53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CB2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6B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B75336A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1493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F2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A9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EB7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183F6663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FE7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4F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1BC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B0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F901101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4B4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64D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183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ECD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ABB3F4F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AD8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1E06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6C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C28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47F07CF6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8F31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2E4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489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C18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3806560" w14:textId="77777777" w:rsidTr="00072E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BB30" w14:textId="77777777" w:rsidR="00EF2EA2" w:rsidRPr="00E76B10" w:rsidRDefault="00EF2EA2" w:rsidP="00EF2EA2">
            <w:pPr>
              <w:pStyle w:val="a8"/>
              <w:numPr>
                <w:ilvl w:val="0"/>
                <w:numId w:val="1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7C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B04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DC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FBE094A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587727A2" w14:textId="77777777" w:rsidR="00EF2EA2" w:rsidRPr="00E76B10" w:rsidRDefault="00EF2EA2" w:rsidP="00EF2EA2">
      <w:pPr>
        <w:pStyle w:val="a8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сн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довжина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16 см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512" w:type="dxa"/>
        <w:tblLook w:val="04A0" w:firstRow="1" w:lastRow="0" w:firstColumn="1" w:lastColumn="0" w:noHBand="0" w:noVBand="1"/>
      </w:tblPr>
      <w:tblGrid>
        <w:gridCol w:w="1020"/>
        <w:gridCol w:w="3340"/>
        <w:gridCol w:w="3432"/>
        <w:gridCol w:w="1720"/>
      </w:tblGrid>
      <w:tr w:rsidR="00EF2EA2" w:rsidRPr="00770D17" w14:paraId="0F17D4C2" w14:textId="77777777" w:rsidTr="00072EB9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6431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8CB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A2B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503B" w14:textId="77777777" w:rsidR="00EF2EA2" w:rsidRPr="00E76B10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 Так/Ні</w:t>
            </w:r>
          </w:p>
        </w:tc>
      </w:tr>
      <w:tr w:rsidR="00EF2EA2" w:rsidRPr="00770D17" w14:paraId="73B93E7B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A7B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66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26B0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FEC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38D9C3D0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03E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423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A4C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95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A630C9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E8B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50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1EF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C1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97899EC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2A8B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CB9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44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FF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483F1C6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41A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8C8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4D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C0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19E41367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516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60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2C7A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FE6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53B708C2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E6C" w14:textId="77777777" w:rsidR="00EF2EA2" w:rsidRPr="00E76B10" w:rsidRDefault="00EF2EA2" w:rsidP="00EF2EA2">
            <w:pPr>
              <w:pStyle w:val="a8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46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B8B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CA2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FD7E660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08ADB9EF" w14:textId="77777777" w:rsidR="00EF2EA2" w:rsidRPr="00E76B10" w:rsidRDefault="00EF2EA2" w:rsidP="00EF2EA2">
      <w:pPr>
        <w:pStyle w:val="a8"/>
        <w:numPr>
          <w:ilvl w:val="0"/>
          <w:numId w:val="15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Стент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уретеральний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подвійний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свинний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з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відкрити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дистальним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кінцем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4,7ch </w:t>
      </w:r>
      <w:proofErr w:type="spellStart"/>
      <w:r w:rsidRPr="00F25B15">
        <w:rPr>
          <w:rFonts w:ascii="Times New Roman" w:hAnsi="Times New Roman" w:cs="Times New Roman"/>
          <w:color w:val="000000"/>
          <w:sz w:val="24"/>
          <w:szCs w:val="24"/>
        </w:rPr>
        <w:t>довжина</w:t>
      </w:r>
      <w:proofErr w:type="spellEnd"/>
      <w:r w:rsidRPr="00F25B15">
        <w:rPr>
          <w:rFonts w:ascii="Times New Roman" w:hAnsi="Times New Roman" w:cs="Times New Roman"/>
          <w:color w:val="000000"/>
          <w:sz w:val="24"/>
          <w:szCs w:val="24"/>
        </w:rPr>
        <w:t xml:space="preserve"> 18 см </w:t>
      </w:r>
      <w:r w:rsidRPr="00E76B1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61177 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proofErr w:type="gram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відновлення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підтримання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color w:val="000000"/>
          <w:sz w:val="24"/>
          <w:szCs w:val="24"/>
        </w:rPr>
        <w:t>сечоводу</w:t>
      </w:r>
      <w:proofErr w:type="spellEnd"/>
      <w:r w:rsidRPr="00E76B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6B10">
        <w:rPr>
          <w:rFonts w:ascii="Times New Roman" w:hAnsi="Times New Roman" w:cs="Times New Roman"/>
          <w:sz w:val="24"/>
          <w:szCs w:val="24"/>
        </w:rPr>
        <w:t xml:space="preserve">  U020302 СЕЧОВІДНІ СТЕНТИ З ПЕТЛЕЮ НА ОБОХ КІНЦЯХ)</w:t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1020"/>
        <w:gridCol w:w="3340"/>
        <w:gridCol w:w="3715"/>
        <w:gridCol w:w="1720"/>
      </w:tblGrid>
      <w:tr w:rsidR="00EF2EA2" w:rsidRPr="00770D17" w14:paraId="6D067961" w14:textId="77777777" w:rsidTr="00072EB9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BD20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2A0C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/ параметр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BC2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Медико-технічні вимоги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FC72" w14:textId="77777777" w:rsidR="00EF2EA2" w:rsidRPr="00770D17" w:rsidRDefault="00EF2EA2" w:rsidP="0007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Відповідність</w:t>
            </w: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Так/Ні</w:t>
            </w:r>
          </w:p>
        </w:tc>
      </w:tr>
      <w:tr w:rsidR="00EF2EA2" w:rsidRPr="00770D17" w14:paraId="475D93B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185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F8B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Конфігурація кінців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6AC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Обидва кінці відкриті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76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253BC025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519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B891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F83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D07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7228BC53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4B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A93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довжина </w:t>
            </w:r>
            <w:proofErr w:type="spellStart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стента</w:t>
            </w:r>
            <w:proofErr w:type="spellEnd"/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F78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5B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13492B9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65D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E21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довжина між завитками (B)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005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D96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675F4C48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8704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8D0E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Провідник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6E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5D6F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1F1A57BD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1CB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835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провідника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FC77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874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EA2" w:rsidRPr="00770D17" w14:paraId="0D7873AC" w14:textId="77777777" w:rsidTr="00072EB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DD5" w14:textId="77777777" w:rsidR="00EF2EA2" w:rsidRPr="00E76B10" w:rsidRDefault="00EF2EA2" w:rsidP="00EF2EA2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875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0AB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Поліуретан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A519" w14:textId="77777777" w:rsidR="00EF2EA2" w:rsidRPr="00770D17" w:rsidRDefault="00EF2EA2" w:rsidP="0007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0FA3AD0" w14:textId="77777777" w:rsidR="00EF2EA2" w:rsidRPr="00770D17" w:rsidRDefault="00EF2EA2" w:rsidP="00EF2EA2">
      <w:pPr>
        <w:rPr>
          <w:rFonts w:ascii="Times New Roman" w:hAnsi="Times New Roman" w:cs="Times New Roman"/>
          <w:sz w:val="24"/>
          <w:szCs w:val="24"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7777777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11E26747" w14:textId="306BBF7D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>Очікувана вартість</w:t>
      </w:r>
      <w:r w:rsidR="000E0808">
        <w:rPr>
          <w:rFonts w:ascii="Times New Roman" w:hAnsi="Times New Roman"/>
          <w:b/>
        </w:rPr>
        <w:t>:</w:t>
      </w:r>
      <w:r w:rsidRPr="006572BE">
        <w:rPr>
          <w:rFonts w:ascii="Times New Roman" w:hAnsi="Times New Roman"/>
          <w:b/>
        </w:rPr>
        <w:t xml:space="preserve"> </w:t>
      </w:r>
      <w:r w:rsidR="000E0808" w:rsidRPr="000E0808">
        <w:rPr>
          <w:rFonts w:ascii="Times New Roman" w:hAnsi="Times New Roman"/>
          <w:b/>
          <w:lang w:val="en-US"/>
        </w:rPr>
        <w:t>670 067,00 (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Шістсот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сімдесят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тисяч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шістдесят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сім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гривень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 xml:space="preserve"> 00 </w:t>
      </w:r>
      <w:proofErr w:type="spellStart"/>
      <w:r w:rsidR="000E0808" w:rsidRPr="000E0808">
        <w:rPr>
          <w:rFonts w:ascii="Times New Roman" w:hAnsi="Times New Roman"/>
          <w:b/>
          <w:lang w:val="en-US"/>
        </w:rPr>
        <w:t>копійок</w:t>
      </w:r>
      <w:proofErr w:type="spellEnd"/>
      <w:r w:rsidR="000E0808" w:rsidRPr="000E0808">
        <w:rPr>
          <w:rFonts w:ascii="Times New Roman" w:hAnsi="Times New Roman"/>
          <w:b/>
          <w:lang w:val="en-US"/>
        </w:rPr>
        <w:t>) з ПДВ.</w:t>
      </w:r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143"/>
    <w:multiLevelType w:val="hybridMultilevel"/>
    <w:tmpl w:val="708C3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5048"/>
    <w:multiLevelType w:val="hybridMultilevel"/>
    <w:tmpl w:val="9DEA825C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C5186"/>
    <w:multiLevelType w:val="hybridMultilevel"/>
    <w:tmpl w:val="08F63B5A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EA1"/>
    <w:multiLevelType w:val="hybridMultilevel"/>
    <w:tmpl w:val="9B800B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61A2"/>
    <w:multiLevelType w:val="hybridMultilevel"/>
    <w:tmpl w:val="C20CF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343C"/>
    <w:multiLevelType w:val="hybridMultilevel"/>
    <w:tmpl w:val="DDF23A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2DEA"/>
    <w:multiLevelType w:val="hybridMultilevel"/>
    <w:tmpl w:val="50206842"/>
    <w:lvl w:ilvl="0" w:tplc="FAA8A58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C3319"/>
    <w:multiLevelType w:val="hybridMultilevel"/>
    <w:tmpl w:val="0A40B2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F44"/>
    <w:multiLevelType w:val="hybridMultilevel"/>
    <w:tmpl w:val="3BA8E4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44777"/>
    <w:rsid w:val="00052EE9"/>
    <w:rsid w:val="00064252"/>
    <w:rsid w:val="000748D1"/>
    <w:rsid w:val="000B4E9D"/>
    <w:rsid w:val="000D6713"/>
    <w:rsid w:val="000E0808"/>
    <w:rsid w:val="000E4C7B"/>
    <w:rsid w:val="000F3805"/>
    <w:rsid w:val="000F405E"/>
    <w:rsid w:val="001159FF"/>
    <w:rsid w:val="00122418"/>
    <w:rsid w:val="001367FF"/>
    <w:rsid w:val="0015209D"/>
    <w:rsid w:val="00163FEE"/>
    <w:rsid w:val="001D47B7"/>
    <w:rsid w:val="001E74A8"/>
    <w:rsid w:val="00205C2A"/>
    <w:rsid w:val="0029456B"/>
    <w:rsid w:val="002C0D36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E72FA"/>
    <w:rsid w:val="004F089C"/>
    <w:rsid w:val="004F6CEB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5FB1"/>
    <w:rsid w:val="006664FB"/>
    <w:rsid w:val="006666A0"/>
    <w:rsid w:val="0067300D"/>
    <w:rsid w:val="00675805"/>
    <w:rsid w:val="0068314B"/>
    <w:rsid w:val="00695B44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7C17CE"/>
    <w:rsid w:val="008373E8"/>
    <w:rsid w:val="00837A29"/>
    <w:rsid w:val="008462EC"/>
    <w:rsid w:val="008545A4"/>
    <w:rsid w:val="0086068D"/>
    <w:rsid w:val="008653A7"/>
    <w:rsid w:val="0086771A"/>
    <w:rsid w:val="00872525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3040"/>
    <w:rsid w:val="009C525E"/>
    <w:rsid w:val="009D3E85"/>
    <w:rsid w:val="009D7630"/>
    <w:rsid w:val="009E19D1"/>
    <w:rsid w:val="00A04D37"/>
    <w:rsid w:val="00A403DC"/>
    <w:rsid w:val="00A64262"/>
    <w:rsid w:val="00A84C45"/>
    <w:rsid w:val="00AB6CA7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A62E7"/>
    <w:rsid w:val="00DB37D5"/>
    <w:rsid w:val="00DB46F2"/>
    <w:rsid w:val="00DD3CED"/>
    <w:rsid w:val="00DF60E6"/>
    <w:rsid w:val="00E05BB4"/>
    <w:rsid w:val="00E115C2"/>
    <w:rsid w:val="00E509F5"/>
    <w:rsid w:val="00E829B9"/>
    <w:rsid w:val="00EA6A9B"/>
    <w:rsid w:val="00EE7A7D"/>
    <w:rsid w:val="00EF2EA2"/>
    <w:rsid w:val="00F34208"/>
    <w:rsid w:val="00F45A0D"/>
    <w:rsid w:val="00F463D9"/>
    <w:rsid w:val="00F550C5"/>
    <w:rsid w:val="00F743C6"/>
    <w:rsid w:val="00F825DA"/>
    <w:rsid w:val="00F856DC"/>
    <w:rsid w:val="00F977FD"/>
    <w:rsid w:val="00FA1422"/>
    <w:rsid w:val="00FB2FE0"/>
    <w:rsid w:val="00FD22DE"/>
    <w:rsid w:val="00FD6D12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6763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107</cp:revision>
  <cp:lastPrinted>2025-01-29T09:18:00Z</cp:lastPrinted>
  <dcterms:created xsi:type="dcterms:W3CDTF">2025-01-29T09:21:00Z</dcterms:created>
  <dcterms:modified xsi:type="dcterms:W3CDTF">2026-06-12T07:41:00Z</dcterms:modified>
</cp:coreProperties>
</file>